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794" w:rsidRDefault="00BD2028">
      <w:pPr>
        <w:rPr>
          <w:b/>
          <w:u w:val="single"/>
        </w:rPr>
      </w:pPr>
      <w:r>
        <w:rPr>
          <w:b/>
          <w:u w:val="single"/>
        </w:rPr>
        <w:t>Source A</w:t>
      </w:r>
    </w:p>
    <w:p w:rsidR="00BD2028" w:rsidRPr="00BD2028" w:rsidRDefault="00BD2028">
      <w:pPr>
        <w:rPr>
          <w:b/>
          <w:u w:val="single"/>
        </w:rPr>
      </w:pPr>
    </w:p>
    <w:p w:rsidR="00F1652C" w:rsidRPr="00F1652C" w:rsidRDefault="00F1652C" w:rsidP="00F1652C">
      <w:pPr>
        <w:jc w:val="both"/>
      </w:pPr>
      <w:r w:rsidRPr="00F1652C">
        <w:rPr>
          <w:b/>
          <w:bCs/>
        </w:rPr>
        <w:t>Gestapo and other government reports on public reactions to the Night of the Long Knives, 1934.</w:t>
      </w:r>
    </w:p>
    <w:p w:rsidR="00F1652C" w:rsidRDefault="00F1652C" w:rsidP="00F1652C">
      <w:pPr>
        <w:jc w:val="both"/>
      </w:pPr>
      <w:r w:rsidRPr="00F1652C">
        <w:t>The suppression of the Rohm revolt has been like a purifying thunderstorm. The nightmare which has burdened the people has been followed by a liberating sigh of relief…Wide sections of the population, however, have been deeply shocked by the shooting of persons unconnected with the Rohm revolt. It is realised these were excesses, which took place without the knowledge and against the will of the Fuhrer.</w:t>
      </w:r>
    </w:p>
    <w:p w:rsidR="00F1652C" w:rsidRPr="00F1652C" w:rsidRDefault="00F1652C" w:rsidP="00F1652C">
      <w:pPr>
        <w:jc w:val="both"/>
      </w:pPr>
    </w:p>
    <w:p w:rsidR="00F1652C" w:rsidRPr="00F1652C" w:rsidRDefault="00F1652C" w:rsidP="00F1652C">
      <w:pPr>
        <w:jc w:val="both"/>
      </w:pPr>
      <w:r w:rsidRPr="00F1652C">
        <w:rPr>
          <w:b/>
          <w:bCs/>
        </w:rPr>
        <w:t>(Give two things you can infer from Source A about the Nazis’ use of violence in the 1930s)</w:t>
      </w:r>
    </w:p>
    <w:p w:rsidR="00BD2028" w:rsidRDefault="00BD2028"/>
    <w:p w:rsidR="00BD2028" w:rsidRDefault="00BD2028"/>
    <w:p w:rsidR="00BD2028" w:rsidRDefault="00BD2028" w:rsidP="00BD2028">
      <w:pPr>
        <w:jc w:val="both"/>
        <w:rPr>
          <w:b/>
          <w:bCs/>
        </w:rPr>
      </w:pPr>
      <w:r>
        <w:rPr>
          <w:b/>
          <w:bCs/>
        </w:rPr>
        <w:t>Complete the table below to explain your answer.</w:t>
      </w:r>
    </w:p>
    <w:p w:rsidR="00BD2028" w:rsidRPr="004D06E1" w:rsidRDefault="00BD2028" w:rsidP="00BD2028">
      <w:pPr>
        <w:jc w:val="both"/>
      </w:pPr>
    </w:p>
    <w:p w:rsidR="00BD2028" w:rsidRDefault="00BD2028" w:rsidP="00BD2028"/>
    <w:p w:rsidR="00BD2028" w:rsidRDefault="00BD2028" w:rsidP="00BD2028">
      <w:pPr>
        <w:pStyle w:val="ListParagraph"/>
        <w:numPr>
          <w:ilvl w:val="0"/>
          <w:numId w:val="1"/>
        </w:numPr>
      </w:pPr>
      <w:r>
        <w:t>What I can infer:</w:t>
      </w:r>
    </w:p>
    <w:p w:rsidR="00BD2028" w:rsidRPr="00870F1C" w:rsidRDefault="00BD2028" w:rsidP="00BD2028">
      <w:pPr>
        <w:rPr>
          <w:sz w:val="32"/>
          <w:u w:val="single"/>
        </w:rPr>
      </w:pP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p>
    <w:p w:rsidR="00BD2028" w:rsidRDefault="00BD2028" w:rsidP="00BD2028"/>
    <w:p w:rsidR="00BD2028" w:rsidRDefault="00BD2028" w:rsidP="00BD2028">
      <w:r>
        <w:tab/>
        <w:t>Details in the source that tell me this:</w:t>
      </w:r>
    </w:p>
    <w:p w:rsidR="00BD2028" w:rsidRPr="00870F1C" w:rsidRDefault="00BD2028" w:rsidP="00BD2028">
      <w:pPr>
        <w:rPr>
          <w:sz w:val="32"/>
          <w:u w:val="single"/>
        </w:rPr>
      </w:pP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p>
    <w:p w:rsidR="00BD2028" w:rsidRPr="00870F1C" w:rsidRDefault="00BD2028" w:rsidP="00BD2028">
      <w:pPr>
        <w:rPr>
          <w:sz w:val="32"/>
        </w:rPr>
      </w:pPr>
    </w:p>
    <w:p w:rsidR="00BD2028" w:rsidRDefault="00BD2028" w:rsidP="00BD2028">
      <w:pPr>
        <w:pStyle w:val="ListParagraph"/>
        <w:numPr>
          <w:ilvl w:val="0"/>
          <w:numId w:val="1"/>
        </w:numPr>
      </w:pPr>
      <w:r>
        <w:t>What I can infer:</w:t>
      </w:r>
    </w:p>
    <w:p w:rsidR="00BD2028" w:rsidRPr="00870F1C" w:rsidRDefault="00BD2028" w:rsidP="00BD2028">
      <w:pPr>
        <w:rPr>
          <w:sz w:val="32"/>
          <w:u w:val="single"/>
        </w:rPr>
      </w:pP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p>
    <w:p w:rsidR="00BD2028" w:rsidRPr="00870F1C" w:rsidRDefault="00BD2028" w:rsidP="00BD2028">
      <w:pPr>
        <w:rPr>
          <w:sz w:val="32"/>
          <w:u w:val="single"/>
        </w:rPr>
      </w:pPr>
    </w:p>
    <w:p w:rsidR="00BD2028" w:rsidRDefault="00BD2028" w:rsidP="00BD2028">
      <w:pPr>
        <w:ind w:left="720"/>
      </w:pPr>
      <w:r>
        <w:t>Details in the source that tell me this:</w:t>
      </w:r>
    </w:p>
    <w:p w:rsidR="00BD2028" w:rsidRPr="00870F1C" w:rsidRDefault="00BD2028" w:rsidP="00BD2028">
      <w:pPr>
        <w:rPr>
          <w:sz w:val="32"/>
          <w:u w:val="single"/>
        </w:rPr>
      </w:pP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p>
    <w:p w:rsidR="00BD2028" w:rsidRPr="00870F1C" w:rsidRDefault="00BD2028" w:rsidP="00BD2028">
      <w:pPr>
        <w:rPr>
          <w:sz w:val="32"/>
        </w:rPr>
      </w:pPr>
    </w:p>
    <w:p w:rsidR="00BD2028" w:rsidRDefault="00BD2028"/>
    <w:p w:rsidR="00F1652C" w:rsidRDefault="00F1652C"/>
    <w:p w:rsidR="00F1652C" w:rsidRDefault="00F1652C"/>
    <w:p w:rsidR="00F1652C" w:rsidRDefault="00F1652C"/>
    <w:p w:rsidR="00F1652C" w:rsidRDefault="00F1652C"/>
    <w:p w:rsidR="00F1652C" w:rsidRDefault="00F1652C"/>
    <w:p w:rsidR="00F1652C" w:rsidRDefault="00F1652C"/>
    <w:p w:rsidR="00F1652C" w:rsidRDefault="00F1652C"/>
    <w:p w:rsidR="00F1652C" w:rsidRDefault="00F1652C"/>
    <w:p w:rsidR="00F1652C" w:rsidRDefault="00F1652C"/>
    <w:p w:rsidR="00F1652C" w:rsidRDefault="00F1652C">
      <w:pPr>
        <w:rPr>
          <w:b/>
          <w:u w:val="single"/>
        </w:rPr>
      </w:pPr>
      <w:r>
        <w:rPr>
          <w:b/>
          <w:u w:val="single"/>
        </w:rPr>
        <w:lastRenderedPageBreak/>
        <w:t>Source B</w:t>
      </w:r>
    </w:p>
    <w:p w:rsidR="00F1652C" w:rsidRDefault="00F1652C">
      <w:pPr>
        <w:rPr>
          <w:b/>
          <w:u w:val="single"/>
        </w:rPr>
      </w:pPr>
    </w:p>
    <w:p w:rsidR="00F1652C" w:rsidRPr="00F1652C" w:rsidRDefault="00F1652C" w:rsidP="00F1652C">
      <w:pPr>
        <w:jc w:val="both"/>
      </w:pPr>
      <w:r w:rsidRPr="00F1652C">
        <w:rPr>
          <w:b/>
          <w:bCs/>
        </w:rPr>
        <w:t>E.A. Buller, Darkness over Germany, 1943. Buller was an anti-Nazi German teacher who left Germany.</w:t>
      </w:r>
    </w:p>
    <w:p w:rsidR="00F1652C" w:rsidRDefault="00F1652C" w:rsidP="00F1652C">
      <w:pPr>
        <w:jc w:val="both"/>
      </w:pPr>
      <w:r w:rsidRPr="00F1652C">
        <w:t xml:space="preserve">At one of the early congresses I was sitting around surrounded by thousands of SA men and as Hitler spoke I was most interested at the shouts and more often the muttered exclamations of the men around me, who were mainly workmen or lower-middle-class types. ‘He speaks for me, he speaks for me’. ‘Ach </w:t>
      </w:r>
      <w:proofErr w:type="spellStart"/>
      <w:r w:rsidRPr="00F1652C">
        <w:t>Gott</w:t>
      </w:r>
      <w:proofErr w:type="spellEnd"/>
      <w:r w:rsidRPr="00F1652C">
        <w:t xml:space="preserve"> [Oh, God], he knows how I feel’…One man in particular struck me as he lent forward with his head in his hands, and with a sort of convulsive sob said, ‘</w:t>
      </w:r>
      <w:proofErr w:type="spellStart"/>
      <w:r w:rsidRPr="00F1652C">
        <w:t>Gott</w:t>
      </w:r>
      <w:proofErr w:type="spellEnd"/>
      <w:r w:rsidRPr="00F1652C">
        <w:t xml:space="preserve"> </w:t>
      </w:r>
      <w:proofErr w:type="spellStart"/>
      <w:r w:rsidRPr="00F1652C">
        <w:t>sei</w:t>
      </w:r>
      <w:proofErr w:type="spellEnd"/>
      <w:r w:rsidRPr="00F1652C">
        <w:t xml:space="preserve"> Dank [God be thanked], he understands’.</w:t>
      </w:r>
    </w:p>
    <w:p w:rsidR="00F1652C" w:rsidRPr="00F1652C" w:rsidRDefault="00F1652C" w:rsidP="00F1652C">
      <w:pPr>
        <w:jc w:val="both"/>
      </w:pPr>
    </w:p>
    <w:p w:rsidR="00F1652C" w:rsidRPr="00F1652C" w:rsidRDefault="00F1652C" w:rsidP="00F1652C">
      <w:pPr>
        <w:jc w:val="both"/>
      </w:pPr>
      <w:r w:rsidRPr="00F1652C">
        <w:rPr>
          <w:b/>
          <w:bCs/>
        </w:rPr>
        <w:t>(Give two things you can infer from Source B about Hitler’s appeal to the people of Germany in the 1920s and 1930s).</w:t>
      </w:r>
    </w:p>
    <w:p w:rsidR="00F1652C" w:rsidRDefault="00F1652C" w:rsidP="00F1652C">
      <w:pPr>
        <w:jc w:val="both"/>
      </w:pPr>
    </w:p>
    <w:p w:rsidR="00F1652C" w:rsidRDefault="00F1652C" w:rsidP="00F1652C">
      <w:pPr>
        <w:jc w:val="both"/>
      </w:pPr>
    </w:p>
    <w:p w:rsidR="00F1652C" w:rsidRPr="00F1652C" w:rsidRDefault="00F1652C" w:rsidP="00F1652C">
      <w:pPr>
        <w:jc w:val="both"/>
        <w:rPr>
          <w:b/>
          <w:bCs/>
        </w:rPr>
      </w:pPr>
      <w:r w:rsidRPr="00F1652C">
        <w:rPr>
          <w:b/>
          <w:bCs/>
        </w:rPr>
        <w:t>Complete the table below to explain your answer.</w:t>
      </w:r>
    </w:p>
    <w:p w:rsidR="00F1652C" w:rsidRPr="00F1652C" w:rsidRDefault="00F1652C" w:rsidP="00F1652C">
      <w:pPr>
        <w:jc w:val="both"/>
      </w:pPr>
    </w:p>
    <w:p w:rsidR="00F1652C" w:rsidRPr="00F1652C" w:rsidRDefault="00F1652C" w:rsidP="00F1652C">
      <w:pPr>
        <w:jc w:val="both"/>
      </w:pPr>
    </w:p>
    <w:p w:rsidR="00F1652C" w:rsidRPr="00F1652C" w:rsidRDefault="00F1652C" w:rsidP="00F1652C">
      <w:pPr>
        <w:numPr>
          <w:ilvl w:val="0"/>
          <w:numId w:val="2"/>
        </w:numPr>
        <w:jc w:val="both"/>
      </w:pPr>
      <w:r w:rsidRPr="00F1652C">
        <w:t>What I can infer:</w:t>
      </w:r>
    </w:p>
    <w:p w:rsidR="00F1652C" w:rsidRPr="00F1652C" w:rsidRDefault="00F1652C" w:rsidP="00F1652C">
      <w:pPr>
        <w:jc w:val="both"/>
        <w:rPr>
          <w:sz w:val="32"/>
          <w:u w:val="single"/>
        </w:rPr>
      </w:pP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p>
    <w:p w:rsidR="00F1652C" w:rsidRPr="00F1652C" w:rsidRDefault="00F1652C" w:rsidP="00F1652C">
      <w:pPr>
        <w:jc w:val="both"/>
        <w:rPr>
          <w:sz w:val="32"/>
        </w:rPr>
      </w:pPr>
    </w:p>
    <w:p w:rsidR="00F1652C" w:rsidRPr="00F1652C" w:rsidRDefault="00F1652C" w:rsidP="00F1652C">
      <w:pPr>
        <w:jc w:val="both"/>
      </w:pPr>
      <w:r w:rsidRPr="00F1652C">
        <w:tab/>
        <w:t>Details in the source that tell me this:</w:t>
      </w:r>
    </w:p>
    <w:p w:rsidR="00F1652C" w:rsidRPr="00F1652C" w:rsidRDefault="00F1652C" w:rsidP="00F1652C">
      <w:pPr>
        <w:jc w:val="both"/>
        <w:rPr>
          <w:sz w:val="32"/>
          <w:u w:val="single"/>
        </w:rPr>
      </w:pP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p>
    <w:p w:rsidR="00F1652C" w:rsidRPr="00F1652C" w:rsidRDefault="00F1652C" w:rsidP="00F1652C">
      <w:pPr>
        <w:jc w:val="both"/>
      </w:pPr>
    </w:p>
    <w:p w:rsidR="00F1652C" w:rsidRPr="00F1652C" w:rsidRDefault="00F1652C" w:rsidP="00F1652C">
      <w:pPr>
        <w:numPr>
          <w:ilvl w:val="0"/>
          <w:numId w:val="2"/>
        </w:numPr>
        <w:jc w:val="both"/>
      </w:pPr>
      <w:r w:rsidRPr="00F1652C">
        <w:t>What I can infer:</w:t>
      </w:r>
    </w:p>
    <w:p w:rsidR="00F1652C" w:rsidRPr="00F1652C" w:rsidRDefault="00F1652C" w:rsidP="00F1652C">
      <w:pPr>
        <w:jc w:val="both"/>
        <w:rPr>
          <w:sz w:val="32"/>
          <w:u w:val="single"/>
        </w:rPr>
      </w:pP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p>
    <w:p w:rsidR="00F1652C" w:rsidRPr="00F1652C" w:rsidRDefault="00F1652C" w:rsidP="00F1652C">
      <w:pPr>
        <w:jc w:val="both"/>
        <w:rPr>
          <w:u w:val="single"/>
        </w:rPr>
      </w:pPr>
    </w:p>
    <w:p w:rsidR="00F1652C" w:rsidRPr="00F1652C" w:rsidRDefault="00F1652C" w:rsidP="00F1652C">
      <w:pPr>
        <w:ind w:firstLine="720"/>
        <w:jc w:val="both"/>
      </w:pPr>
      <w:r w:rsidRPr="00F1652C">
        <w:t>Details in the source that tell me this:</w:t>
      </w:r>
    </w:p>
    <w:p w:rsidR="00F1652C" w:rsidRPr="00F1652C" w:rsidRDefault="00F1652C" w:rsidP="00F1652C">
      <w:pPr>
        <w:jc w:val="both"/>
        <w:rPr>
          <w:sz w:val="32"/>
          <w:u w:val="single"/>
        </w:rPr>
      </w:pP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r w:rsidRPr="00F1652C">
        <w:rPr>
          <w:sz w:val="32"/>
          <w:u w:val="single"/>
        </w:rPr>
        <w:tab/>
      </w:r>
    </w:p>
    <w:p w:rsidR="00F1652C" w:rsidRPr="00F1652C" w:rsidRDefault="00F1652C" w:rsidP="00F1652C">
      <w:pPr>
        <w:jc w:val="both"/>
      </w:pPr>
    </w:p>
    <w:p w:rsidR="00F1652C" w:rsidRDefault="00F1652C" w:rsidP="00F1652C">
      <w:pPr>
        <w:jc w:val="both"/>
      </w:pPr>
    </w:p>
    <w:p w:rsidR="0050411F" w:rsidRDefault="0050411F" w:rsidP="00F1652C">
      <w:pPr>
        <w:jc w:val="both"/>
      </w:pPr>
    </w:p>
    <w:p w:rsidR="0050411F" w:rsidRDefault="0050411F" w:rsidP="00F1652C">
      <w:pPr>
        <w:jc w:val="both"/>
      </w:pPr>
    </w:p>
    <w:p w:rsidR="0050411F" w:rsidRDefault="0050411F" w:rsidP="00F1652C">
      <w:pPr>
        <w:jc w:val="both"/>
      </w:pPr>
    </w:p>
    <w:p w:rsidR="0050411F" w:rsidRDefault="0050411F" w:rsidP="00F1652C">
      <w:pPr>
        <w:jc w:val="both"/>
      </w:pPr>
    </w:p>
    <w:p w:rsidR="0050411F" w:rsidRDefault="0050411F" w:rsidP="00F1652C">
      <w:pPr>
        <w:jc w:val="both"/>
      </w:pPr>
    </w:p>
    <w:p w:rsidR="0050411F" w:rsidRDefault="0050411F" w:rsidP="00F1652C">
      <w:pPr>
        <w:jc w:val="both"/>
      </w:pPr>
    </w:p>
    <w:p w:rsidR="0050411F" w:rsidRDefault="0050411F" w:rsidP="00F1652C">
      <w:pPr>
        <w:jc w:val="both"/>
      </w:pPr>
    </w:p>
    <w:p w:rsidR="0050411F" w:rsidRDefault="0050411F" w:rsidP="00F1652C">
      <w:pPr>
        <w:jc w:val="both"/>
        <w:rPr>
          <w:b/>
          <w:u w:val="single"/>
        </w:rPr>
      </w:pPr>
      <w:r>
        <w:rPr>
          <w:b/>
          <w:u w:val="single"/>
        </w:rPr>
        <w:t>Question 3(a)</w:t>
      </w:r>
    </w:p>
    <w:p w:rsidR="0050411F" w:rsidRDefault="0050411F" w:rsidP="00F1652C">
      <w:pPr>
        <w:jc w:val="both"/>
        <w:rPr>
          <w:b/>
          <w:u w:val="single"/>
        </w:rPr>
      </w:pPr>
    </w:p>
    <w:p w:rsidR="0050411F" w:rsidRPr="00F71D85" w:rsidRDefault="0050411F" w:rsidP="00F1652C">
      <w:pPr>
        <w:jc w:val="both"/>
        <w:rPr>
          <w:b/>
          <w:u w:val="single"/>
        </w:rPr>
      </w:pPr>
      <w:r w:rsidRPr="00F71D85">
        <w:rPr>
          <w:b/>
          <w:u w:val="single"/>
        </w:rPr>
        <w:t>Source C:</w:t>
      </w:r>
    </w:p>
    <w:p w:rsidR="0050411F" w:rsidRDefault="0050411F" w:rsidP="00F1652C">
      <w:pPr>
        <w:jc w:val="both"/>
        <w:rPr>
          <w:b/>
        </w:rPr>
      </w:pPr>
      <w:r w:rsidRPr="0050411F">
        <w:rPr>
          <w:b/>
        </w:rPr>
        <w:t xml:space="preserve">From </w:t>
      </w:r>
      <w:r>
        <w:rPr>
          <w:b/>
        </w:rPr>
        <w:t xml:space="preserve">Judith </w:t>
      </w:r>
      <w:proofErr w:type="spellStart"/>
      <w:r>
        <w:rPr>
          <w:b/>
        </w:rPr>
        <w:t>Grunfeld</w:t>
      </w:r>
      <w:proofErr w:type="spellEnd"/>
      <w:r>
        <w:rPr>
          <w:b/>
        </w:rPr>
        <w:t>, an American Journalist, 1937.</w:t>
      </w:r>
    </w:p>
    <w:p w:rsidR="0050411F" w:rsidRDefault="0050411F" w:rsidP="00F1652C">
      <w:pPr>
        <w:jc w:val="both"/>
      </w:pPr>
      <w:r>
        <w:t>How many women workers did the Fuhrer send home? According to the statistics of the German Department of Labour, there were in June 1936, 5,470,000 employed women, or 1,200,000 more than in January 1933. The Nazi campaign has not been successful in reducing the numbers of women employed. It has simply squeezed them out of better paid positions into the sweated trades. This type of labour with its miserable wages and long hours is extremely dangerous to the health of women and degrades the family.</w:t>
      </w:r>
    </w:p>
    <w:p w:rsidR="0050411F" w:rsidRDefault="0050411F" w:rsidP="00F1652C">
      <w:pPr>
        <w:jc w:val="both"/>
      </w:pPr>
    </w:p>
    <w:p w:rsidR="00F71D85" w:rsidRPr="00F71D85" w:rsidRDefault="00F71D85" w:rsidP="00F1652C">
      <w:pPr>
        <w:jc w:val="both"/>
        <w:rPr>
          <w:b/>
          <w:i/>
        </w:rPr>
      </w:pPr>
      <w:r>
        <w:rPr>
          <w:b/>
          <w:i/>
        </w:rPr>
        <w:t>How useful is Source C for an enquiry into Nazi policies towards women in Germany in the years 1933-39?</w:t>
      </w:r>
    </w:p>
    <w:p w:rsidR="0050411F" w:rsidRDefault="0050411F" w:rsidP="00F1652C">
      <w:pPr>
        <w:jc w:val="both"/>
      </w:pPr>
    </w:p>
    <w:p w:rsidR="0050411F" w:rsidRDefault="0050411F" w:rsidP="00F1652C">
      <w:pPr>
        <w:jc w:val="both"/>
        <w:rPr>
          <w:b/>
        </w:rPr>
      </w:pPr>
      <w:r>
        <w:rPr>
          <w:b/>
        </w:rPr>
        <w:t>Model Answer:</w:t>
      </w:r>
    </w:p>
    <w:p w:rsidR="0050411F" w:rsidRDefault="0050411F" w:rsidP="00F1652C">
      <w:pPr>
        <w:jc w:val="both"/>
        <w:rPr>
          <w:i/>
        </w:rPr>
      </w:pPr>
      <w:r w:rsidRPr="00F17E53">
        <w:rPr>
          <w:i/>
        </w:rPr>
        <w:t>Source C is useful because it suggests that the Nazi policies towards women were not successful as there were 1,200,000 more women in employment in Germany in 1936 than there had been in 1936. This was the case because there were labour shortages in certain parts of German industry. It is also useful because it says that the Nazi policies had not been successful because</w:t>
      </w:r>
      <w:r w:rsidR="00505BF8">
        <w:rPr>
          <w:i/>
        </w:rPr>
        <w:t xml:space="preserve"> they had forced women out of reasonably paid jobs into those that had poor conditions such as the sweated trades. ‘Invisible employment’ enabled the Nazis to hide the real extent of unemployment. The usefulness of Source B is further enhanced by its provenance. It was written by an American journalist who will not have been influenced by Nazi propaganda and censorship and would be able to give an objective, independent assessment of the effects of Nazi policies on women. She is able to be critical about these policies.</w:t>
      </w:r>
    </w:p>
    <w:p w:rsidR="00505BF8" w:rsidRDefault="00505BF8" w:rsidP="00F1652C">
      <w:pPr>
        <w:jc w:val="both"/>
        <w:rPr>
          <w:i/>
        </w:rPr>
      </w:pPr>
    </w:p>
    <w:p w:rsidR="00505BF8" w:rsidRDefault="00505BF8" w:rsidP="00F1652C">
      <w:pPr>
        <w:jc w:val="both"/>
        <w:rPr>
          <w:b/>
        </w:rPr>
      </w:pPr>
      <w:r>
        <w:rPr>
          <w:b/>
        </w:rPr>
        <w:t>Highlight the judgement on the source, the use of own knowledge, and the information about provenance in this answer.</w:t>
      </w:r>
    </w:p>
    <w:p w:rsidR="00A44046" w:rsidRDefault="00A44046" w:rsidP="00F1652C">
      <w:pPr>
        <w:jc w:val="both"/>
        <w:rPr>
          <w:b/>
        </w:rPr>
      </w:pPr>
    </w:p>
    <w:p w:rsidR="00A44046" w:rsidRDefault="00A44046" w:rsidP="00F1652C">
      <w:pPr>
        <w:jc w:val="both"/>
        <w:rPr>
          <w:b/>
        </w:rPr>
      </w:pPr>
    </w:p>
    <w:p w:rsidR="00A44046" w:rsidRPr="00A44046" w:rsidRDefault="00A44046" w:rsidP="00A44046">
      <w:pPr>
        <w:jc w:val="both"/>
        <w:rPr>
          <w:b/>
        </w:rPr>
      </w:pPr>
      <w:r w:rsidRPr="00A44046">
        <w:rPr>
          <w:b/>
        </w:rPr>
        <w:t>There are three key parts to answering this question successfully:</w:t>
      </w:r>
    </w:p>
    <w:p w:rsidR="00000000" w:rsidRPr="00A44046" w:rsidRDefault="00F71D85" w:rsidP="00A44046">
      <w:pPr>
        <w:numPr>
          <w:ilvl w:val="0"/>
          <w:numId w:val="3"/>
        </w:numPr>
        <w:jc w:val="both"/>
      </w:pPr>
      <w:r w:rsidRPr="00A44046">
        <w:t>Judgement made about the value of the contents of the source, e.g. Source A is useful because…</w:t>
      </w:r>
    </w:p>
    <w:p w:rsidR="00000000" w:rsidRPr="00A44046" w:rsidRDefault="00F71D85" w:rsidP="00A44046">
      <w:pPr>
        <w:numPr>
          <w:ilvl w:val="0"/>
          <w:numId w:val="3"/>
        </w:numPr>
        <w:jc w:val="both"/>
      </w:pPr>
      <w:r w:rsidRPr="00A44046">
        <w:t>Own knowledge is used to support this judgement.</w:t>
      </w:r>
    </w:p>
    <w:p w:rsidR="00000000" w:rsidRPr="00A44046" w:rsidRDefault="00F71D85" w:rsidP="00A44046">
      <w:pPr>
        <w:numPr>
          <w:ilvl w:val="0"/>
          <w:numId w:val="3"/>
        </w:numPr>
        <w:jc w:val="both"/>
      </w:pPr>
      <w:r w:rsidRPr="00A44046">
        <w:t xml:space="preserve">The provenance (origin) of the source is taken into account, e.g. </w:t>
      </w:r>
      <w:proofErr w:type="gramStart"/>
      <w:r w:rsidRPr="00A44046">
        <w:t>It</w:t>
      </w:r>
      <w:proofErr w:type="gramEnd"/>
      <w:r w:rsidRPr="00A44046">
        <w:t xml:space="preserve"> was written by…</w:t>
      </w:r>
    </w:p>
    <w:p w:rsidR="00A44046" w:rsidRPr="00A44046" w:rsidRDefault="00A44046" w:rsidP="00A44046">
      <w:pPr>
        <w:jc w:val="both"/>
        <w:rPr>
          <w:b/>
        </w:rPr>
      </w:pPr>
      <w:r w:rsidRPr="00A44046">
        <w:rPr>
          <w:b/>
        </w:rPr>
        <w:t>In addition, in your conclusion, give a final judgement on the value of each source. Is one more useful than the other?</w:t>
      </w:r>
    </w:p>
    <w:p w:rsidR="00A44046" w:rsidRDefault="00A44046" w:rsidP="00F1652C">
      <w:pPr>
        <w:jc w:val="both"/>
        <w:rPr>
          <w:b/>
        </w:rPr>
      </w:pPr>
    </w:p>
    <w:p w:rsidR="00F71D85" w:rsidRDefault="00F71D85" w:rsidP="00F1652C">
      <w:pPr>
        <w:jc w:val="both"/>
        <w:rPr>
          <w:b/>
        </w:rPr>
      </w:pPr>
    </w:p>
    <w:p w:rsidR="00F71D85" w:rsidRDefault="00F71D85" w:rsidP="00F1652C">
      <w:pPr>
        <w:jc w:val="both"/>
        <w:rPr>
          <w:b/>
        </w:rPr>
      </w:pPr>
    </w:p>
    <w:p w:rsidR="00A44046" w:rsidRDefault="00A44046" w:rsidP="00F1652C">
      <w:pPr>
        <w:jc w:val="both"/>
        <w:rPr>
          <w:b/>
          <w:i/>
          <w:u w:val="single"/>
        </w:rPr>
      </w:pPr>
    </w:p>
    <w:p w:rsidR="00F71D85" w:rsidRDefault="00F71D85" w:rsidP="00F1652C">
      <w:pPr>
        <w:jc w:val="both"/>
        <w:rPr>
          <w:b/>
          <w:u w:val="single"/>
        </w:rPr>
      </w:pPr>
      <w:r>
        <w:rPr>
          <w:b/>
          <w:u w:val="single"/>
        </w:rPr>
        <w:t>Source D</w:t>
      </w:r>
    </w:p>
    <w:p w:rsidR="00F71D85" w:rsidRPr="00F71D85" w:rsidRDefault="00F71D85" w:rsidP="00F71D85">
      <w:pPr>
        <w:jc w:val="both"/>
        <w:rPr>
          <w:b/>
        </w:rPr>
      </w:pPr>
      <w:r w:rsidRPr="00F71D85">
        <w:rPr>
          <w:b/>
        </w:rPr>
        <w:t>Gestapo and other government reports on public reactions to the Night of the Long Knives, 1934.</w:t>
      </w:r>
    </w:p>
    <w:p w:rsidR="00F71D85" w:rsidRDefault="00F71D85" w:rsidP="00F71D85">
      <w:pPr>
        <w:jc w:val="both"/>
      </w:pPr>
      <w:r>
        <w:t>The suppression of the Rohm revolt has been like a purifying thunderstorm. The nightmare which has burdened the people has been followed by a liberating sigh of relief…Wide sections of the population, however, have been deeply shocked by the shooting of persons unconnected with the Rohm revolt. It is realised these were excesses, which took place without the knowledge and against the will of the Fuhrer.</w:t>
      </w:r>
    </w:p>
    <w:p w:rsidR="00F71D85" w:rsidRDefault="00F71D85" w:rsidP="00F1652C">
      <w:pPr>
        <w:jc w:val="both"/>
        <w:rPr>
          <w:b/>
          <w:u w:val="single"/>
        </w:rPr>
      </w:pPr>
    </w:p>
    <w:p w:rsidR="00F71D85" w:rsidRPr="00F71D85" w:rsidRDefault="00F71D85" w:rsidP="00F1652C">
      <w:pPr>
        <w:jc w:val="both"/>
        <w:rPr>
          <w:b/>
          <w:i/>
        </w:rPr>
      </w:pPr>
      <w:r>
        <w:rPr>
          <w:b/>
          <w:i/>
        </w:rPr>
        <w:t>How useful is Source D for an enquiry into the Nazis use of violence in the 1930s?</w:t>
      </w:r>
      <w:bookmarkStart w:id="0" w:name="_GoBack"/>
      <w:bookmarkEnd w:id="0"/>
    </w:p>
    <w:sectPr w:rsidR="00F71D85" w:rsidRPr="00F71D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A16FA"/>
    <w:multiLevelType w:val="hybridMultilevel"/>
    <w:tmpl w:val="3EA0E420"/>
    <w:lvl w:ilvl="0" w:tplc="6354E684">
      <w:start w:val="1"/>
      <w:numFmt w:val="bullet"/>
      <w:lvlText w:val=""/>
      <w:lvlJc w:val="left"/>
      <w:pPr>
        <w:tabs>
          <w:tab w:val="num" w:pos="720"/>
        </w:tabs>
        <w:ind w:left="720" w:hanging="360"/>
      </w:pPr>
      <w:rPr>
        <w:rFonts w:ascii="Wingdings 2" w:hAnsi="Wingdings 2" w:hint="default"/>
      </w:rPr>
    </w:lvl>
    <w:lvl w:ilvl="1" w:tplc="DBA62F96" w:tentative="1">
      <w:start w:val="1"/>
      <w:numFmt w:val="bullet"/>
      <w:lvlText w:val=""/>
      <w:lvlJc w:val="left"/>
      <w:pPr>
        <w:tabs>
          <w:tab w:val="num" w:pos="1440"/>
        </w:tabs>
        <w:ind w:left="1440" w:hanging="360"/>
      </w:pPr>
      <w:rPr>
        <w:rFonts w:ascii="Wingdings 2" w:hAnsi="Wingdings 2" w:hint="default"/>
      </w:rPr>
    </w:lvl>
    <w:lvl w:ilvl="2" w:tplc="F880DC04" w:tentative="1">
      <w:start w:val="1"/>
      <w:numFmt w:val="bullet"/>
      <w:lvlText w:val=""/>
      <w:lvlJc w:val="left"/>
      <w:pPr>
        <w:tabs>
          <w:tab w:val="num" w:pos="2160"/>
        </w:tabs>
        <w:ind w:left="2160" w:hanging="360"/>
      </w:pPr>
      <w:rPr>
        <w:rFonts w:ascii="Wingdings 2" w:hAnsi="Wingdings 2" w:hint="default"/>
      </w:rPr>
    </w:lvl>
    <w:lvl w:ilvl="3" w:tplc="0A46998E" w:tentative="1">
      <w:start w:val="1"/>
      <w:numFmt w:val="bullet"/>
      <w:lvlText w:val=""/>
      <w:lvlJc w:val="left"/>
      <w:pPr>
        <w:tabs>
          <w:tab w:val="num" w:pos="2880"/>
        </w:tabs>
        <w:ind w:left="2880" w:hanging="360"/>
      </w:pPr>
      <w:rPr>
        <w:rFonts w:ascii="Wingdings 2" w:hAnsi="Wingdings 2" w:hint="default"/>
      </w:rPr>
    </w:lvl>
    <w:lvl w:ilvl="4" w:tplc="823CB00C" w:tentative="1">
      <w:start w:val="1"/>
      <w:numFmt w:val="bullet"/>
      <w:lvlText w:val=""/>
      <w:lvlJc w:val="left"/>
      <w:pPr>
        <w:tabs>
          <w:tab w:val="num" w:pos="3600"/>
        </w:tabs>
        <w:ind w:left="3600" w:hanging="360"/>
      </w:pPr>
      <w:rPr>
        <w:rFonts w:ascii="Wingdings 2" w:hAnsi="Wingdings 2" w:hint="default"/>
      </w:rPr>
    </w:lvl>
    <w:lvl w:ilvl="5" w:tplc="3E4E9EA2" w:tentative="1">
      <w:start w:val="1"/>
      <w:numFmt w:val="bullet"/>
      <w:lvlText w:val=""/>
      <w:lvlJc w:val="left"/>
      <w:pPr>
        <w:tabs>
          <w:tab w:val="num" w:pos="4320"/>
        </w:tabs>
        <w:ind w:left="4320" w:hanging="360"/>
      </w:pPr>
      <w:rPr>
        <w:rFonts w:ascii="Wingdings 2" w:hAnsi="Wingdings 2" w:hint="default"/>
      </w:rPr>
    </w:lvl>
    <w:lvl w:ilvl="6" w:tplc="27B25E0C" w:tentative="1">
      <w:start w:val="1"/>
      <w:numFmt w:val="bullet"/>
      <w:lvlText w:val=""/>
      <w:lvlJc w:val="left"/>
      <w:pPr>
        <w:tabs>
          <w:tab w:val="num" w:pos="5040"/>
        </w:tabs>
        <w:ind w:left="5040" w:hanging="360"/>
      </w:pPr>
      <w:rPr>
        <w:rFonts w:ascii="Wingdings 2" w:hAnsi="Wingdings 2" w:hint="default"/>
      </w:rPr>
    </w:lvl>
    <w:lvl w:ilvl="7" w:tplc="6D6E9682" w:tentative="1">
      <w:start w:val="1"/>
      <w:numFmt w:val="bullet"/>
      <w:lvlText w:val=""/>
      <w:lvlJc w:val="left"/>
      <w:pPr>
        <w:tabs>
          <w:tab w:val="num" w:pos="5760"/>
        </w:tabs>
        <w:ind w:left="5760" w:hanging="360"/>
      </w:pPr>
      <w:rPr>
        <w:rFonts w:ascii="Wingdings 2" w:hAnsi="Wingdings 2" w:hint="default"/>
      </w:rPr>
    </w:lvl>
    <w:lvl w:ilvl="8" w:tplc="6556EDB6"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4C46501A"/>
    <w:multiLevelType w:val="hybridMultilevel"/>
    <w:tmpl w:val="E2DEDD6C"/>
    <w:lvl w:ilvl="0" w:tplc="0C0C80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760C77"/>
    <w:multiLevelType w:val="hybridMultilevel"/>
    <w:tmpl w:val="E2DEDD6C"/>
    <w:lvl w:ilvl="0" w:tplc="0C0C80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028"/>
    <w:rsid w:val="00060794"/>
    <w:rsid w:val="0050411F"/>
    <w:rsid w:val="00505BF8"/>
    <w:rsid w:val="00A16400"/>
    <w:rsid w:val="00A44046"/>
    <w:rsid w:val="00BD2028"/>
    <w:rsid w:val="00CE4215"/>
    <w:rsid w:val="00F1652C"/>
    <w:rsid w:val="00F17E53"/>
    <w:rsid w:val="00F71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9CBF5-EAE3-4BD4-8BEB-0EB791706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0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0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741222">
      <w:bodyDiv w:val="1"/>
      <w:marLeft w:val="0"/>
      <w:marRight w:val="0"/>
      <w:marTop w:val="0"/>
      <w:marBottom w:val="0"/>
      <w:divBdr>
        <w:top w:val="none" w:sz="0" w:space="0" w:color="auto"/>
        <w:left w:val="none" w:sz="0" w:space="0" w:color="auto"/>
        <w:bottom w:val="none" w:sz="0" w:space="0" w:color="auto"/>
        <w:right w:val="none" w:sz="0" w:space="0" w:color="auto"/>
      </w:divBdr>
    </w:div>
    <w:div w:id="844245474">
      <w:bodyDiv w:val="1"/>
      <w:marLeft w:val="0"/>
      <w:marRight w:val="0"/>
      <w:marTop w:val="0"/>
      <w:marBottom w:val="0"/>
      <w:divBdr>
        <w:top w:val="none" w:sz="0" w:space="0" w:color="auto"/>
        <w:left w:val="none" w:sz="0" w:space="0" w:color="auto"/>
        <w:bottom w:val="none" w:sz="0" w:space="0" w:color="auto"/>
        <w:right w:val="none" w:sz="0" w:space="0" w:color="auto"/>
      </w:divBdr>
      <w:divsChild>
        <w:div w:id="1761876489">
          <w:marLeft w:val="691"/>
          <w:marRight w:val="0"/>
          <w:marTop w:val="0"/>
          <w:marBottom w:val="0"/>
          <w:divBdr>
            <w:top w:val="none" w:sz="0" w:space="0" w:color="auto"/>
            <w:left w:val="none" w:sz="0" w:space="0" w:color="auto"/>
            <w:bottom w:val="none" w:sz="0" w:space="0" w:color="auto"/>
            <w:right w:val="none" w:sz="0" w:space="0" w:color="auto"/>
          </w:divBdr>
        </w:div>
        <w:div w:id="1136601623">
          <w:marLeft w:val="691"/>
          <w:marRight w:val="0"/>
          <w:marTop w:val="0"/>
          <w:marBottom w:val="0"/>
          <w:divBdr>
            <w:top w:val="none" w:sz="0" w:space="0" w:color="auto"/>
            <w:left w:val="none" w:sz="0" w:space="0" w:color="auto"/>
            <w:bottom w:val="none" w:sz="0" w:space="0" w:color="auto"/>
            <w:right w:val="none" w:sz="0" w:space="0" w:color="auto"/>
          </w:divBdr>
        </w:div>
        <w:div w:id="1443262026">
          <w:marLeft w:val="691"/>
          <w:marRight w:val="0"/>
          <w:marTop w:val="0"/>
          <w:marBottom w:val="0"/>
          <w:divBdr>
            <w:top w:val="none" w:sz="0" w:space="0" w:color="auto"/>
            <w:left w:val="none" w:sz="0" w:space="0" w:color="auto"/>
            <w:bottom w:val="none" w:sz="0" w:space="0" w:color="auto"/>
            <w:right w:val="none" w:sz="0" w:space="0" w:color="auto"/>
          </w:divBdr>
        </w:div>
      </w:divsChild>
    </w:div>
    <w:div w:id="148550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1125</TotalTime>
  <Pages>3</Pages>
  <Words>707</Words>
  <Characters>4033</Characters>
  <Application>Microsoft Office Word</Application>
  <DocSecurity>0</DocSecurity>
  <Lines>33</Lines>
  <Paragraphs>9</Paragraphs>
  <ScaleCrop>false</ScaleCrop>
  <Company>University of Kent</Company>
  <LinksUpToDate>false</LinksUpToDate>
  <CharactersWithSpaces>4731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Butler</dc:creator>
  <cp:keywords/>
  <dc:description/>
  <cp:lastModifiedBy>William Butler</cp:lastModifiedBy>
  <cp:revision>7</cp:revision>
  <dcterms:created xsi:type="dcterms:W3CDTF">2018-08-20T13:26:00Z</dcterms:created>
  <dcterms:modified xsi:type="dcterms:W3CDTF">2018-08-21T08:38:00Z</dcterms:modified>
</cp:coreProperties>
</file>