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center"/>
        <w:rPr>
          <w:rFonts w:ascii="Arial" w:hAnsi="Arial"/>
          <w:b w:val="1"/>
          <w:bCs w:val="1"/>
          <w:color w:val="942092"/>
          <w:sz w:val="28"/>
          <w:szCs w:val="28"/>
          <w:u w:color="942092"/>
        </w:rPr>
      </w:pPr>
    </w:p>
    <w:p>
      <w:pPr>
        <w:pStyle w:val="Body A"/>
        <w:spacing w:line="288" w:lineRule="auto"/>
        <w:jc w:val="center"/>
        <w:rPr>
          <w:rFonts w:ascii="Arial" w:hAnsi="Arial"/>
          <w:b w:val="1"/>
          <w:bCs w:val="1"/>
          <w:color w:val="942092"/>
          <w:sz w:val="28"/>
          <w:szCs w:val="28"/>
          <w:u w:color="942092"/>
        </w:rPr>
      </w:pPr>
    </w:p>
    <w:p>
      <w:pPr>
        <w:pStyle w:val="Body A"/>
        <w:spacing w:line="288" w:lineRule="auto"/>
        <w:jc w:val="center"/>
        <w:rPr>
          <w:rFonts w:ascii="Arial" w:hAnsi="Arial"/>
          <w:b w:val="1"/>
          <w:bCs w:val="1"/>
          <w:color w:val="942092"/>
          <w:sz w:val="28"/>
          <w:szCs w:val="28"/>
          <w:u w:color="942092"/>
        </w:rPr>
      </w:pPr>
    </w:p>
    <w:p>
      <w:pPr>
        <w:pStyle w:val="Body A"/>
        <w:spacing w:line="288" w:lineRule="auto"/>
        <w:jc w:val="center"/>
        <w:rPr>
          <w:rFonts w:ascii="Arial" w:hAnsi="Arial"/>
          <w:b w:val="1"/>
          <w:bCs w:val="1"/>
          <w:color w:val="942092"/>
          <w:sz w:val="28"/>
          <w:szCs w:val="28"/>
          <w:u w:color="942092"/>
        </w:rPr>
      </w:pPr>
    </w:p>
    <w:p>
      <w:pPr>
        <w:pStyle w:val="Body A"/>
        <w:spacing w:line="288" w:lineRule="auto"/>
        <w:jc w:val="center"/>
        <w:rPr>
          <w:rFonts w:ascii="Arial" w:hAnsi="Arial"/>
          <w:b w:val="1"/>
          <w:bCs w:val="1"/>
          <w:color w:val="942092"/>
          <w:sz w:val="28"/>
          <w:szCs w:val="28"/>
          <w:u w:color="942092"/>
        </w:rPr>
      </w:pPr>
    </w:p>
    <w:p>
      <w:pPr>
        <w:pStyle w:val="Body A"/>
        <w:spacing w:line="288" w:lineRule="auto"/>
        <w:jc w:val="center"/>
        <w:rPr>
          <w:rFonts w:ascii="Arial" w:hAnsi="Arial"/>
          <w:b w:val="1"/>
          <w:bCs w:val="1"/>
          <w:color w:val="942092"/>
          <w:sz w:val="28"/>
          <w:szCs w:val="28"/>
          <w:u w:color="942092"/>
        </w:rPr>
      </w:pPr>
    </w:p>
    <w:p>
      <w:pPr>
        <w:pStyle w:val="Body A"/>
        <w:spacing w:line="288" w:lineRule="auto"/>
        <w:jc w:val="center"/>
        <w:rPr>
          <w:rFonts w:ascii="Arial" w:hAnsi="Arial"/>
          <w:b w:val="1"/>
          <w:bCs w:val="1"/>
          <w:color w:val="942092"/>
          <w:sz w:val="28"/>
          <w:szCs w:val="28"/>
          <w:u w:color="942092"/>
        </w:rPr>
      </w:pPr>
    </w:p>
    <w:p>
      <w:pPr>
        <w:pStyle w:val="Body A"/>
        <w:spacing w:line="288" w:lineRule="auto"/>
        <w:jc w:val="center"/>
        <w:rPr>
          <w:rFonts w:ascii="Arial" w:cs="Arial" w:hAnsi="Arial" w:eastAsia="Arial"/>
          <w:b w:val="1"/>
          <w:bCs w:val="1"/>
          <w:color w:val="942092"/>
          <w:sz w:val="28"/>
          <w:szCs w:val="28"/>
          <w:u w:color="942092"/>
        </w:rPr>
      </w:pPr>
      <w:r>
        <w:rPr>
          <w:rFonts w:ascii="Arial" w:hAnsi="Arial"/>
          <w:b w:val="1"/>
          <w:bCs w:val="1"/>
          <w:color w:val="942092"/>
          <w:sz w:val="28"/>
          <w:szCs w:val="28"/>
          <w:u w:color="942092"/>
          <w:rtl w:val="0"/>
          <w:lang w:val="en-US"/>
        </w:rPr>
        <w:t>Kent Critical Student Law Conference 2020</w:t>
      </w:r>
    </w:p>
    <w:p>
      <w:pPr>
        <w:pStyle w:val="Body A"/>
        <w:spacing w:line="288" w:lineRule="auto"/>
        <w:jc w:val="center"/>
        <w:rPr>
          <w:rFonts w:ascii="Arial" w:cs="Arial" w:hAnsi="Arial" w:eastAsia="Arial"/>
          <w:sz w:val="28"/>
          <w:szCs w:val="28"/>
          <w:u w:val="single"/>
        </w:rPr>
      </w:pPr>
      <w:r>
        <w:rPr>
          <w:rFonts w:ascii="Arial" w:hAnsi="Arial"/>
          <w:sz w:val="28"/>
          <w:szCs w:val="28"/>
          <w:u w:val="single"/>
          <w:rtl w:val="0"/>
          <w:lang w:val="en-US"/>
        </w:rPr>
        <w:t>Saturday, 14th March 2020</w:t>
      </w:r>
    </w:p>
    <w:p>
      <w:pPr>
        <w:pStyle w:val="Body A"/>
        <w:spacing w:line="288" w:lineRule="auto"/>
        <w:jc w:val="center"/>
        <w:rPr>
          <w:rFonts w:ascii="Arial" w:cs="Arial" w:hAnsi="Arial" w:eastAsia="Arial"/>
          <w:i w:val="1"/>
          <w:iCs w:val="1"/>
          <w:sz w:val="28"/>
          <w:szCs w:val="28"/>
        </w:rPr>
      </w:pPr>
      <w:r>
        <w:rPr>
          <w:rFonts w:ascii="Arial" w:hAnsi="Arial"/>
          <w:i w:val="1"/>
          <w:iCs w:val="1"/>
          <w:sz w:val="28"/>
          <w:szCs w:val="28"/>
          <w:rtl w:val="0"/>
          <w:lang w:val="en-US"/>
        </w:rPr>
        <w:t>Grimond Building, University of Kent</w:t>
      </w:r>
    </w:p>
    <w:p>
      <w:pPr>
        <w:pStyle w:val="Body A"/>
        <w:spacing w:line="288" w:lineRule="auto"/>
        <w:jc w:val="center"/>
        <w:rPr>
          <w:rFonts w:ascii="Arial" w:cs="Arial" w:hAnsi="Arial" w:eastAsia="Arial"/>
          <w:b w:val="1"/>
          <w:bCs w:val="1"/>
          <w:color w:val="942092"/>
          <w:sz w:val="28"/>
          <w:szCs w:val="28"/>
          <w:u w:val="single" w:color="942092"/>
        </w:rPr>
      </w:pPr>
      <w:r>
        <w:rPr>
          <w:rFonts w:ascii="Arial" w:hAnsi="Arial"/>
          <w:b w:val="1"/>
          <w:bCs w:val="1"/>
          <w:color w:val="942092"/>
          <w:sz w:val="28"/>
          <w:szCs w:val="28"/>
          <w:u w:val="single" w:color="942092"/>
          <w:rtl w:val="0"/>
          <w:lang w:val="en-US"/>
        </w:rPr>
        <w:t xml:space="preserve">Theme: </w:t>
      </w:r>
      <w:r>
        <w:rPr>
          <w:rFonts w:ascii="Arial" w:hAnsi="Arial" w:hint="default"/>
          <w:b w:val="1"/>
          <w:bCs w:val="1"/>
          <w:color w:val="942092"/>
          <w:sz w:val="28"/>
          <w:szCs w:val="28"/>
          <w:u w:val="single" w:color="942092"/>
          <w:rtl w:val="0"/>
          <w:lang w:val="en-US"/>
        </w:rPr>
        <w:t>“</w:t>
      </w:r>
      <w:r>
        <w:rPr>
          <w:rFonts w:ascii="Arial" w:hAnsi="Arial"/>
          <w:b w:val="1"/>
          <w:bCs w:val="1"/>
          <w:color w:val="942092"/>
          <w:sz w:val="28"/>
          <w:szCs w:val="28"/>
          <w:u w:val="single" w:color="942092"/>
          <w:rtl w:val="0"/>
          <w:lang w:val="en-US"/>
        </w:rPr>
        <w:t>Legal Paradoxes</w:t>
      </w:r>
      <w:r>
        <w:rPr>
          <w:rFonts w:ascii="Arial" w:hAnsi="Arial" w:hint="default"/>
          <w:b w:val="1"/>
          <w:bCs w:val="1"/>
          <w:color w:val="942092"/>
          <w:sz w:val="28"/>
          <w:szCs w:val="28"/>
          <w:u w:val="single" w:color="942092"/>
          <w:rtl w:val="0"/>
          <w:lang w:val="en-US"/>
        </w:rPr>
        <w:t>”</w:t>
      </w:r>
    </w:p>
    <w:p>
      <w:pPr>
        <w:pStyle w:val="Body A"/>
        <w:spacing w:line="288" w:lineRule="auto"/>
        <w:jc w:val="center"/>
        <w:rPr>
          <w:rFonts w:ascii="Arial" w:cs="Arial" w:hAnsi="Arial" w:eastAsia="Arial"/>
        </w:rPr>
      </w:pPr>
      <w:r>
        <w:rPr>
          <w:rFonts w:ascii="Arial" w:hAnsi="Arial"/>
          <w:sz w:val="28"/>
          <w:szCs w:val="28"/>
          <w:rtl w:val="0"/>
          <w:lang w:val="en-US"/>
        </w:rPr>
        <w:t>CALL FOR PAPERS</w:t>
      </w:r>
    </w:p>
    <w:p>
      <w:pPr>
        <w:pStyle w:val="Body A"/>
        <w:spacing w:line="288" w:lineRule="auto"/>
        <w:rPr>
          <w:rFonts w:ascii="Arial" w:cs="Arial" w:hAnsi="Arial" w:eastAsia="Arial"/>
          <w:sz w:val="28"/>
          <w:szCs w:val="28"/>
        </w:rPr>
      </w:pPr>
    </w:p>
    <w:p>
      <w:pPr>
        <w:pStyle w:val="Default"/>
        <w:spacing w:after="300" w:line="360" w:lineRule="auto"/>
        <w:rPr>
          <w:rFonts w:ascii="Arial" w:cs="Arial" w:hAnsi="Arial" w:eastAsia="Arial"/>
          <w:color w:val="201f1e"/>
          <w:sz w:val="24"/>
          <w:szCs w:val="24"/>
          <w:u w:color="201f1e"/>
          <w:shd w:val="clear" w:color="auto" w:fill="ffffff"/>
        </w:rPr>
      </w:pPr>
      <w:r>
        <w:rPr>
          <w:rFonts w:ascii="Arial" w:hAnsi="Arial"/>
          <w:sz w:val="24"/>
          <w:szCs w:val="24"/>
          <w:shd w:val="clear" w:color="auto" w:fill="ffffff"/>
          <w:rtl w:val="0"/>
          <w:lang w:val="en-US"/>
        </w:rPr>
        <w:t>The Kent Critical Law Society (KCLS) is pleased to announce that its</w:t>
      </w: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annual flagship event, the Kent Critical Student Law Conference (KCSLC) will take place on Saturday,</w:t>
      </w:r>
      <w:r>
        <w:rPr>
          <w:rFonts w:ascii="Arial" w:hAnsi="Arial"/>
          <w:i w:val="1"/>
          <w:iCs w:val="1"/>
          <w:sz w:val="24"/>
          <w:szCs w:val="24"/>
          <w:shd w:val="clear" w:color="auto" w:fill="ffffff"/>
          <w:rtl w:val="0"/>
          <w:lang w:val="en-US"/>
        </w:rPr>
        <w:t>14</w:t>
      </w:r>
      <w:r>
        <w:rPr>
          <w:rFonts w:ascii="Arial" w:hAnsi="Arial"/>
          <w:i w:val="1"/>
          <w:iCs w:val="1"/>
          <w:sz w:val="24"/>
          <w:szCs w:val="24"/>
          <w:shd w:val="clear" w:color="auto" w:fill="ffffff"/>
          <w:vertAlign w:val="superscript"/>
          <w:rtl w:val="0"/>
          <w:lang w:val="en-US"/>
        </w:rPr>
        <w:t>th</w:t>
      </w:r>
      <w:r>
        <w:rPr>
          <w:rFonts w:ascii="Arial" w:hAnsi="Arial" w:hint="default"/>
          <w:i w:val="1"/>
          <w:iCs w:val="1"/>
          <w:sz w:val="24"/>
          <w:szCs w:val="24"/>
          <w:shd w:val="clear" w:color="auto" w:fill="ffffff"/>
          <w:rtl w:val="0"/>
          <w:lang w:val="en-US"/>
        </w:rPr>
        <w:t> </w:t>
      </w:r>
      <w:r>
        <w:rPr>
          <w:rFonts w:ascii="Arial" w:hAnsi="Arial"/>
          <w:i w:val="1"/>
          <w:iCs w:val="1"/>
          <w:sz w:val="24"/>
          <w:szCs w:val="24"/>
          <w:shd w:val="clear" w:color="auto" w:fill="ffffff"/>
          <w:rtl w:val="0"/>
          <w:lang w:val="en-US"/>
        </w:rPr>
        <w:t>of March 2020</w:t>
      </w:r>
      <w:r>
        <w:rPr>
          <w:rFonts w:ascii="Arial" w:hAnsi="Arial"/>
          <w:sz w:val="24"/>
          <w:szCs w:val="24"/>
          <w:shd w:val="clear" w:color="auto" w:fill="ffffff"/>
          <w:rtl w:val="0"/>
          <w:lang w:val="en-US"/>
        </w:rPr>
        <w:t>. As a prominent student society within Kent Law School, we take pride in the fact that we organise a undergraduate led conference that is open to all: undergraduate and postgraduate students, as well as academics and professionals, are welcome to participate. We aim, accordingly, to have a conference that will allow for lively discussions, networking and socialising amongst critical minds from all walks of life; but more importantly, we hope for critical engagement with our theme for this year:</w:t>
      </w:r>
      <w:r>
        <w:rPr>
          <w:rFonts w:ascii="Arial" w:hAnsi="Arial" w:hint="default"/>
          <w:sz w:val="24"/>
          <w:szCs w:val="24"/>
          <w:shd w:val="clear" w:color="auto" w:fill="ffffff"/>
          <w:rtl w:val="0"/>
          <w:lang w:val="en-US"/>
        </w:rPr>
        <w:t> “</w:t>
      </w:r>
      <w:r>
        <w:rPr>
          <w:rFonts w:ascii="Arial" w:hAnsi="Arial"/>
          <w:i w:val="1"/>
          <w:iCs w:val="1"/>
          <w:sz w:val="24"/>
          <w:szCs w:val="24"/>
          <w:shd w:val="clear" w:color="auto" w:fill="ffffff"/>
          <w:rtl w:val="0"/>
          <w:lang w:val="pt-PT"/>
        </w:rPr>
        <w:t>Legal Paradoxes</w:t>
      </w:r>
      <w:r>
        <w:rPr>
          <w:rFonts w:ascii="Arial" w:hAnsi="Arial" w:hint="default"/>
          <w:i w:val="1"/>
          <w:iCs w:val="1"/>
          <w:sz w:val="24"/>
          <w:szCs w:val="24"/>
          <w:shd w:val="clear" w:color="auto" w:fill="ffffff"/>
          <w:rtl w:val="0"/>
          <w:lang w:val="pt-PT"/>
        </w:rPr>
        <w:t>”</w:t>
      </w:r>
      <w:r>
        <w:rPr>
          <w:rFonts w:ascii="Arial" w:hAnsi="Arial"/>
          <w:sz w:val="24"/>
          <w:szCs w:val="24"/>
          <w:shd w:val="clear" w:color="auto" w:fill="ffffff"/>
          <w:rtl w:val="0"/>
          <w:lang w:val="en-US"/>
        </w:rPr>
        <w:t>.</w:t>
      </w:r>
      <w:r>
        <w:rPr>
          <w:rFonts w:ascii="Arial" w:hAnsi="Arial" w:hint="default"/>
          <w:sz w:val="24"/>
          <w:szCs w:val="24"/>
          <w:shd w:val="clear" w:color="auto" w:fill="ffffff"/>
          <w:rtl w:val="0"/>
          <w:lang w:val="en-US"/>
        </w:rPr>
        <w:t> </w:t>
      </w:r>
    </w:p>
    <w:p>
      <w:pPr>
        <w:pStyle w:val="Default"/>
        <w:spacing w:after="300" w:line="360" w:lineRule="auto"/>
        <w:rPr>
          <w:rFonts w:ascii="Arial" w:cs="Arial" w:hAnsi="Arial" w:eastAsia="Arial"/>
          <w:color w:val="1d2129"/>
          <w:sz w:val="24"/>
          <w:szCs w:val="24"/>
          <w:u w:color="1d2129"/>
          <w:shd w:val="clear" w:color="auto" w:fill="ffffff"/>
        </w:rPr>
      </w:pPr>
      <w:r>
        <w:rPr>
          <w:rFonts w:ascii="Arial" w:hAnsi="Arial" w:hint="default"/>
          <w:sz w:val="24"/>
          <w:szCs w:val="24"/>
          <w:shd w:val="clear" w:color="auto" w:fill="ffffff"/>
          <w:rtl w:val="0"/>
          <w:lang w:val="en-US"/>
        </w:rPr>
        <w:t xml:space="preserve">     </w:t>
      </w:r>
      <w:r>
        <w:rPr>
          <w:rFonts w:ascii="Arial" w:hAnsi="Arial"/>
          <w:sz w:val="24"/>
          <w:szCs w:val="24"/>
          <w:shd w:val="clear" w:color="auto" w:fill="ffffff"/>
          <w:rtl w:val="0"/>
          <w:lang w:val="en-US"/>
        </w:rPr>
        <w:t>Legal Paradoxes have perplexed legal scholars and practitioners alike since Protagoras and Euathlus.</w:t>
      </w:r>
      <w:r>
        <w:rPr>
          <w:rFonts w:ascii="Arial" w:cs="Arial" w:hAnsi="Arial" w:eastAsia="Arial"/>
          <w:sz w:val="24"/>
          <w:szCs w:val="24"/>
          <w:u w:color="942092"/>
          <w:shd w:val="clear" w:color="auto" w:fill="ffffff"/>
          <w:vertAlign w:val="superscript"/>
          <w:lang w:val="pt-PT"/>
        </w:rPr>
        <w:footnoteReference w:id="1"/>
      </w:r>
      <w:r>
        <w:rPr>
          <w:rFonts w:ascii="Arial" w:hAnsi="Arial"/>
          <w:sz w:val="24"/>
          <w:szCs w:val="24"/>
          <w:shd w:val="clear" w:color="auto" w:fill="ffffff"/>
          <w:rtl w:val="0"/>
          <w:lang w:val="en-US"/>
        </w:rPr>
        <w:t xml:space="preserve"> Today, they seem to occupy the very essence of the law.  Perez and Teubner make this evident in their edited compilation of essays: </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Paradoxes and Inconsistencies in the Law</w:t>
      </w:r>
      <w:r>
        <w:rPr>
          <w:rFonts w:ascii="Arial" w:hAnsi="Arial" w:hint="default"/>
          <w:sz w:val="24"/>
          <w:szCs w:val="24"/>
          <w:shd w:val="clear" w:color="auto" w:fill="ffffff"/>
          <w:rtl w:val="0"/>
          <w:lang w:val="en-US"/>
        </w:rPr>
        <w:t>”</w:t>
      </w:r>
      <w:r>
        <w:rPr>
          <w:rFonts w:ascii="Arial" w:cs="Arial" w:hAnsi="Arial" w:eastAsia="Arial"/>
          <w:sz w:val="24"/>
          <w:szCs w:val="24"/>
          <w:shd w:val="clear" w:color="auto" w:fill="ffffff"/>
          <w:vertAlign w:val="superscript"/>
          <w:lang w:val="en-US"/>
        </w:rPr>
        <w:footnoteReference w:id="2"/>
      </w:r>
      <w:r>
        <w:rPr>
          <w:rFonts w:ascii="Arial" w:hAnsi="Arial"/>
          <w:sz w:val="24"/>
          <w:szCs w:val="24"/>
          <w:shd w:val="clear" w:color="auto" w:fill="ffffff"/>
          <w:rtl w:val="0"/>
          <w:lang w:val="en-US"/>
        </w:rPr>
        <w:t xml:space="preserve">, where they undertake an examination of legal paradoxes through a very comprehensive structure. </w:t>
      </w:r>
    </w:p>
    <w:p>
      <w:pPr>
        <w:pStyle w:val="Default"/>
        <w:spacing w:after="300" w:line="360" w:lineRule="auto"/>
        <w:rPr>
          <w:rFonts w:ascii="Arial" w:cs="Arial" w:hAnsi="Arial" w:eastAsia="Arial"/>
          <w:sz w:val="24"/>
          <w:szCs w:val="24"/>
          <w:shd w:val="clear" w:color="auto" w:fill="ffffff"/>
        </w:rPr>
      </w:pPr>
      <w:r>
        <w:rPr>
          <w:rFonts w:ascii="Arial" w:hAnsi="Arial"/>
          <w:sz w:val="24"/>
          <w:szCs w:val="24"/>
          <w:shd w:val="clear" w:color="auto" w:fill="ffffff"/>
          <w:rtl w:val="0"/>
          <w:lang w:val="en-US"/>
        </w:rPr>
        <w:t xml:space="preserve">It is this </w:t>
      </w:r>
      <w:r>
        <w:rPr>
          <w:rFonts w:ascii="Arial" w:hAnsi="Arial"/>
          <w:color w:val="1d2129"/>
          <w:sz w:val="24"/>
          <w:szCs w:val="24"/>
          <w:u w:color="1d2129"/>
          <w:shd w:val="clear" w:color="auto" w:fill="ffffff"/>
          <w:rtl w:val="0"/>
          <w:lang w:val="en-US"/>
        </w:rPr>
        <w:t>clear and useful way of navigating legal paradoxes</w:t>
      </w:r>
      <w:r>
        <w:rPr>
          <w:rFonts w:ascii="Arial" w:hAnsi="Arial"/>
          <w:sz w:val="24"/>
          <w:szCs w:val="24"/>
          <w:shd w:val="clear" w:color="auto" w:fill="ffffff"/>
          <w:rtl w:val="0"/>
          <w:lang w:val="en-US"/>
        </w:rPr>
        <w:t xml:space="preserve"> offered by Perez and Teubner, that we hope will equip participants with the necessary guidance to approach this year</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 xml:space="preserve">s theme. Their structure approaches legal paradoxes through three lenses, as we will come to view them. Nevertheless, in order to complement </w:t>
      </w:r>
    </w:p>
    <w:p>
      <w:pPr>
        <w:pStyle w:val="Default"/>
        <w:spacing w:after="300" w:line="360" w:lineRule="auto"/>
        <w:rPr>
          <w:rFonts w:ascii="Arial" w:cs="Arial" w:hAnsi="Arial" w:eastAsia="Arial"/>
          <w:sz w:val="24"/>
          <w:szCs w:val="24"/>
          <w:shd w:val="clear" w:color="auto" w:fill="ffffff"/>
        </w:rPr>
      </w:pPr>
    </w:p>
    <w:p>
      <w:pPr>
        <w:pStyle w:val="Default"/>
        <w:spacing w:after="300" w:line="360" w:lineRule="auto"/>
        <w:rPr>
          <w:rFonts w:ascii="Arial" w:cs="Arial" w:hAnsi="Arial" w:eastAsia="Arial"/>
          <w:sz w:val="24"/>
          <w:szCs w:val="24"/>
          <w:shd w:val="clear" w:color="auto" w:fill="ffffff"/>
        </w:rPr>
      </w:pPr>
    </w:p>
    <w:p>
      <w:pPr>
        <w:pStyle w:val="Default"/>
        <w:spacing w:after="300" w:line="360" w:lineRule="auto"/>
        <w:rPr>
          <w:rFonts w:ascii="Arial" w:cs="Arial" w:hAnsi="Arial" w:eastAsia="Arial"/>
          <w:sz w:val="24"/>
          <w:szCs w:val="24"/>
          <w:shd w:val="clear" w:color="auto" w:fill="ffffff"/>
        </w:rPr>
      </w:pPr>
    </w:p>
    <w:p>
      <w:pPr>
        <w:pStyle w:val="Default"/>
        <w:spacing w:after="300" w:line="360" w:lineRule="auto"/>
        <w:rPr>
          <w:rFonts w:ascii="Arial" w:cs="Arial" w:hAnsi="Arial" w:eastAsia="Arial"/>
          <w:sz w:val="24"/>
          <w:szCs w:val="24"/>
          <w:shd w:val="clear" w:color="auto" w:fill="ffffff"/>
        </w:rPr>
      </w:pPr>
    </w:p>
    <w:p>
      <w:pPr>
        <w:pStyle w:val="Default"/>
        <w:spacing w:after="300" w:line="360" w:lineRule="auto"/>
        <w:rPr>
          <w:rFonts w:ascii="Arial" w:cs="Arial" w:hAnsi="Arial" w:eastAsia="Arial"/>
          <w:sz w:val="24"/>
          <w:szCs w:val="24"/>
          <w:shd w:val="clear" w:color="auto" w:fill="ffffff"/>
        </w:rPr>
      </w:pPr>
      <w:r>
        <w:rPr>
          <w:rFonts w:ascii="Arial" w:hAnsi="Arial"/>
          <w:sz w:val="24"/>
          <w:szCs w:val="24"/>
          <w:shd w:val="clear" w:color="auto" w:fill="ffffff"/>
          <w:rtl w:val="0"/>
          <w:lang w:val="en-US"/>
        </w:rPr>
        <w:t>the structure presented by Perez and Teubner, we have provided</w:t>
      </w:r>
      <w:r>
        <w:rPr>
          <w:rFonts w:ascii="Arial" w:hAnsi="Arial" w:hint="default"/>
          <w:sz w:val="24"/>
          <w:szCs w:val="24"/>
          <w:shd w:val="clear" w:color="auto" w:fill="ffffff"/>
          <w:rtl w:val="0"/>
          <w:lang w:val="en-US"/>
        </w:rPr>
        <w:t> </w:t>
      </w:r>
      <w:r>
        <w:rPr>
          <w:rFonts w:ascii="Arial" w:hAnsi="Arial"/>
          <w:color w:val="201f1e"/>
          <w:sz w:val="24"/>
          <w:szCs w:val="24"/>
          <w:u w:color="201f1e"/>
          <w:shd w:val="clear" w:color="auto" w:fill="ffffff"/>
          <w:rtl w:val="0"/>
          <w:lang w:val="en-US"/>
        </w:rPr>
        <w:t>a couple of</w:t>
      </w:r>
      <w:r>
        <w:rPr>
          <w:rFonts w:ascii="Arial" w:hAnsi="Arial" w:hint="default"/>
          <w:sz w:val="24"/>
          <w:szCs w:val="24"/>
          <w:shd w:val="clear" w:color="auto" w:fill="ffffff"/>
          <w:rtl w:val="0"/>
          <w:lang w:val="en-US"/>
        </w:rPr>
        <w:t> </w:t>
      </w:r>
      <w:r>
        <w:rPr>
          <w:rFonts w:ascii="Arial" w:hAnsi="Arial"/>
          <w:color w:val="201f1e"/>
          <w:sz w:val="24"/>
          <w:szCs w:val="24"/>
          <w:u w:color="201f1e"/>
          <w:shd w:val="clear" w:color="auto" w:fill="ffffff"/>
          <w:rtl w:val="0"/>
          <w:lang w:val="en-US"/>
        </w:rPr>
        <w:t>examples</w:t>
      </w: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concerning the lenses and its encompassing paradoxes.</w:t>
      </w:r>
    </w:p>
    <w:p>
      <w:pPr>
        <w:pStyle w:val="Default"/>
        <w:spacing w:after="300" w:line="360" w:lineRule="auto"/>
        <w:rPr>
          <w:rFonts w:ascii="Arial" w:cs="Arial" w:hAnsi="Arial" w:eastAsia="Arial"/>
          <w:color w:val="201f1e"/>
          <w:sz w:val="24"/>
          <w:szCs w:val="24"/>
          <w:u w:color="201f1e"/>
          <w:shd w:val="clear" w:color="auto" w:fill="ffffff"/>
        </w:rPr>
      </w:pPr>
      <w:r>
        <w:rPr>
          <w:rFonts w:ascii="Arial" w:hAnsi="Arial"/>
          <w:sz w:val="24"/>
          <w:szCs w:val="24"/>
          <w:shd w:val="clear" w:color="auto" w:fill="ffffff"/>
          <w:rtl w:val="0"/>
          <w:lang w:val="en-US"/>
        </w:rPr>
        <w:t>The first lens, then, encourages participants to analyse some of the paradoxes found in</w:t>
      </w: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areas that link to law as a whole.</w:t>
      </w:r>
      <w:r>
        <w:rPr>
          <w:rFonts w:ascii="Arial" w:cs="Arial" w:hAnsi="Arial" w:eastAsia="Arial"/>
          <w:sz w:val="24"/>
          <w:szCs w:val="24"/>
          <w:u w:color="942092"/>
          <w:shd w:val="clear" w:color="auto" w:fill="ffffff"/>
          <w:vertAlign w:val="superscript"/>
          <w:lang w:val="pt-PT"/>
        </w:rPr>
        <w:footnoteReference w:id="3"/>
      </w:r>
      <w:r>
        <w:rPr>
          <w:rFonts w:ascii="Arial" w:hAnsi="Arial"/>
          <w:sz w:val="24"/>
          <w:szCs w:val="24"/>
          <w:u w:color="942092"/>
          <w:shd w:val="clear" w:color="auto" w:fill="ffffff"/>
          <w:rtl w:val="0"/>
          <w:lang w:val="en-US"/>
        </w:rPr>
        <w:t xml:space="preserve"> </w:t>
      </w:r>
      <w:r>
        <w:rPr>
          <w:rFonts w:ascii="Arial" w:hAnsi="Arial"/>
          <w:sz w:val="24"/>
          <w:szCs w:val="24"/>
          <w:shd w:val="clear" w:color="auto" w:fill="ffffff"/>
          <w:rtl w:val="0"/>
          <w:lang w:val="en-US"/>
        </w:rPr>
        <w:t xml:space="preserve"> For example, one of the many paradoxes concerning adjudication, is the expectation that judges ought to be apolitical. Judges are humans, which means that they are inherently influenced by a particular background. In fact, in some countries</w:t>
      </w:r>
      <w:r>
        <w:rPr>
          <w:rFonts w:ascii="Arial" w:hAnsi="Arial"/>
          <w:color w:val="201f1e"/>
          <w:sz w:val="24"/>
          <w:szCs w:val="24"/>
          <w:u w:color="201f1e"/>
          <w:shd w:val="clear" w:color="auto" w:fill="ffffff"/>
          <w:rtl w:val="0"/>
          <w:lang w:val="en-US"/>
        </w:rPr>
        <w:t>,</w:t>
      </w: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judges are not only</w:t>
      </w:r>
      <w:r>
        <w:rPr>
          <w:rFonts w:ascii="Arial" w:hAnsi="Arial" w:hint="default"/>
          <w:sz w:val="24"/>
          <w:szCs w:val="24"/>
          <w:shd w:val="clear" w:color="auto" w:fill="ffffff"/>
          <w:rtl w:val="0"/>
          <w:lang w:val="en-US"/>
        </w:rPr>
        <w:t> </w:t>
      </w:r>
      <w:r>
        <w:rPr>
          <w:rFonts w:ascii="Arial" w:hAnsi="Arial"/>
          <w:color w:val="201f1e"/>
          <w:sz w:val="24"/>
          <w:szCs w:val="24"/>
          <w:u w:color="201f1e"/>
          <w:shd w:val="clear" w:color="auto" w:fill="ffffff"/>
          <w:rtl w:val="0"/>
          <w:lang w:val="en-US"/>
        </w:rPr>
        <w:t>a check and balance</w:t>
      </w: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to the legislative and executive branches,</w:t>
      </w:r>
      <w:r>
        <w:rPr>
          <w:rFonts w:ascii="Arial" w:hAnsi="Arial" w:hint="default"/>
          <w:color w:val="201f1e"/>
          <w:sz w:val="24"/>
          <w:szCs w:val="24"/>
          <w:u w:color="201f1e"/>
          <w:shd w:val="clear" w:color="auto" w:fill="ffffff"/>
          <w:rtl w:val="0"/>
          <w:lang w:val="en-US"/>
        </w:rPr>
        <w:t> </w:t>
      </w:r>
      <w:r>
        <w:rPr>
          <w:rFonts w:ascii="Arial" w:hAnsi="Arial"/>
          <w:color w:val="201f1e"/>
          <w:sz w:val="24"/>
          <w:szCs w:val="24"/>
          <w:u w:color="201f1e"/>
          <w:shd w:val="clear" w:color="auto" w:fill="ffffff"/>
          <w:rtl w:val="0"/>
          <w:lang w:val="en-US"/>
        </w:rPr>
        <w:t>but</w:t>
      </w: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they are nominated</w:t>
      </w:r>
      <w:r>
        <w:rPr>
          <w:rFonts w:ascii="Arial" w:hAnsi="Arial" w:hint="default"/>
          <w:color w:val="201f1e"/>
          <w:sz w:val="24"/>
          <w:szCs w:val="24"/>
          <w:u w:color="201f1e"/>
          <w:shd w:val="clear" w:color="auto" w:fill="ffffff"/>
          <w:rtl w:val="0"/>
          <w:lang w:val="en-US"/>
        </w:rPr>
        <w:t> </w:t>
      </w:r>
      <w:r>
        <w:rPr>
          <w:rFonts w:ascii="Arial" w:hAnsi="Arial"/>
          <w:color w:val="201f1e"/>
          <w:sz w:val="24"/>
          <w:szCs w:val="24"/>
          <w:u w:color="201f1e"/>
          <w:shd w:val="clear" w:color="auto" w:fill="ffffff"/>
          <w:rtl w:val="0"/>
          <w:lang w:val="en-US"/>
        </w:rPr>
        <w:t>and appointed</w:t>
      </w: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by them. This results in a process of adjudication that is, paradoxically, inseparable from politics.</w:t>
      </w:r>
      <w:r>
        <w:rPr>
          <w:rFonts w:ascii="Arial" w:cs="Arial" w:hAnsi="Arial" w:eastAsia="Arial"/>
          <w:sz w:val="24"/>
          <w:szCs w:val="24"/>
          <w:shd w:val="clear" w:color="auto" w:fill="ffffff"/>
          <w:vertAlign w:val="superscript"/>
          <w:lang w:val="en-US"/>
        </w:rPr>
        <w:footnoteReference w:id="4"/>
      </w:r>
      <w:r>
        <w:rPr>
          <w:rFonts w:ascii="Arial" w:hAnsi="Arial"/>
          <w:sz w:val="24"/>
          <w:szCs w:val="24"/>
          <w:shd w:val="clear" w:color="auto" w:fill="ffffff"/>
          <w:rtl w:val="0"/>
          <w:lang w:val="en-US"/>
        </w:rPr>
        <w:t xml:space="preserve">  This phenomena is often analysed through a clash of different methodologies: formalism, realism, originalism, deconstruction, etc.</w:t>
      </w:r>
    </w:p>
    <w:p>
      <w:pPr>
        <w:pStyle w:val="Default"/>
        <w:spacing w:after="300" w:line="360" w:lineRule="auto"/>
        <w:rPr>
          <w:rFonts w:ascii="Arial" w:cs="Arial" w:hAnsi="Arial" w:eastAsia="Arial"/>
          <w:sz w:val="24"/>
          <w:szCs w:val="24"/>
          <w:shd w:val="clear" w:color="auto" w:fill="ffffff"/>
        </w:rPr>
      </w:pPr>
      <w:r>
        <w:rPr>
          <w:rFonts w:ascii="Arial" w:hAnsi="Arial" w:hint="default"/>
          <w:sz w:val="24"/>
          <w:szCs w:val="24"/>
          <w:shd w:val="clear" w:color="auto" w:fill="ffffff"/>
          <w:rtl w:val="0"/>
          <w:lang w:val="en-US"/>
        </w:rPr>
        <w:t xml:space="preserve">     </w:t>
      </w:r>
      <w:r>
        <w:rPr>
          <w:rFonts w:ascii="Arial" w:hAnsi="Arial"/>
          <w:sz w:val="24"/>
          <w:szCs w:val="24"/>
          <w:shd w:val="clear" w:color="auto" w:fill="ffffff"/>
          <w:rtl w:val="0"/>
          <w:lang w:val="en-US"/>
        </w:rPr>
        <w:t>The second lens anticipates a more focused approach to legal paradoxes, in which participants could engage with paradoxes within specific legal fields.</w:t>
      </w:r>
      <w:r>
        <w:rPr>
          <w:rFonts w:ascii="Arial" w:cs="Arial" w:hAnsi="Arial" w:eastAsia="Arial"/>
          <w:sz w:val="24"/>
          <w:szCs w:val="24"/>
          <w:u w:color="942092"/>
          <w:shd w:val="clear" w:color="auto" w:fill="ffffff"/>
          <w:vertAlign w:val="superscript"/>
          <w:lang w:val="pt-PT"/>
        </w:rPr>
        <w:footnoteReference w:id="5"/>
      </w:r>
      <w:r>
        <w:rPr>
          <w:rFonts w:ascii="Arial" w:hAnsi="Arial"/>
          <w:sz w:val="24"/>
          <w:szCs w:val="24"/>
          <w:u w:color="942092"/>
          <w:shd w:val="clear" w:color="auto" w:fill="ffffff"/>
          <w:rtl w:val="0"/>
          <w:lang w:val="en-US"/>
        </w:rPr>
        <w:t xml:space="preserve"> </w:t>
      </w:r>
      <w:r>
        <w:rPr>
          <w:rFonts w:ascii="Arial" w:hAnsi="Arial"/>
          <w:sz w:val="24"/>
          <w:szCs w:val="24"/>
          <w:shd w:val="clear" w:color="auto" w:fill="ffffff"/>
          <w:rtl w:val="0"/>
          <w:lang w:val="en-US"/>
        </w:rPr>
        <w:t xml:space="preserve"> An example of this could be public international law and the complex principle of state sovereignty. The latter proves to be a paradoxical principle within international law as it is dependent on the consent of such states to be </w:t>
      </w:r>
      <w:r>
        <w:rPr>
          <w:rFonts w:ascii="Arial" w:hAnsi="Arial" w:hint="default"/>
          <w:sz w:val="24"/>
          <w:szCs w:val="24"/>
          <w:shd w:val="clear" w:color="auto" w:fill="ffffff"/>
          <w:rtl w:val="0"/>
          <w:lang w:val="en-US"/>
        </w:rPr>
        <w:t>‘</w:t>
      </w:r>
      <w:r>
        <w:rPr>
          <w:rFonts w:ascii="Arial" w:hAnsi="Arial"/>
          <w:sz w:val="24"/>
          <w:szCs w:val="24"/>
          <w:shd w:val="clear" w:color="auto" w:fill="ffffff"/>
          <w:rtl w:val="0"/>
          <w:lang w:val="en-US"/>
        </w:rPr>
        <w:t>bound</w:t>
      </w:r>
      <w:r>
        <w:rPr>
          <w:rFonts w:ascii="Arial" w:hAnsi="Arial" w:hint="default"/>
          <w:sz w:val="24"/>
          <w:szCs w:val="24"/>
          <w:shd w:val="clear" w:color="auto" w:fill="ffffff"/>
          <w:rtl w:val="0"/>
          <w:lang w:val="en-US"/>
        </w:rPr>
        <w:t xml:space="preserve">’ </w:t>
      </w:r>
      <w:r>
        <w:rPr>
          <w:rFonts w:ascii="Arial" w:hAnsi="Arial"/>
          <w:sz w:val="24"/>
          <w:szCs w:val="24"/>
          <w:shd w:val="clear" w:color="auto" w:fill="ffffff"/>
          <w:rtl w:val="0"/>
          <w:lang w:val="en-US"/>
        </w:rPr>
        <w:t>by its power. But if no body may be above states and their sovereignty, how can international law really be law? We encourage participants to interpret the relationship between legal fields, such as (but not limited to) international law, and the key debates within them, in an attempt to identify and critically analyse the paradoxes within them.</w:t>
      </w:r>
      <w:r>
        <w:rPr>
          <w:rFonts w:ascii="Arial" w:hAnsi="Arial" w:hint="default"/>
          <w:sz w:val="24"/>
          <w:szCs w:val="24"/>
          <w:shd w:val="clear" w:color="auto" w:fill="ffffff"/>
          <w:rtl w:val="0"/>
          <w:lang w:val="en-US"/>
        </w:rPr>
        <w:t>    </w:t>
      </w:r>
    </w:p>
    <w:p>
      <w:pPr>
        <w:pStyle w:val="Default"/>
        <w:spacing w:line="360" w:lineRule="auto"/>
        <w:rPr>
          <w:rFonts w:ascii="Arial" w:cs="Arial" w:hAnsi="Arial" w:eastAsia="Arial"/>
          <w:color w:val="201f1e"/>
          <w:sz w:val="24"/>
          <w:szCs w:val="24"/>
          <w:u w:color="201f1e"/>
          <w:shd w:val="clear" w:color="auto" w:fill="ffffff"/>
          <w:lang w:val="en-US"/>
        </w:rPr>
      </w:pPr>
      <w:r>
        <w:rPr>
          <w:rFonts w:ascii="Arial" w:hAnsi="Arial" w:hint="default"/>
          <w:color w:val="201f1e"/>
          <w:sz w:val="24"/>
          <w:szCs w:val="24"/>
          <w:u w:color="201f1e"/>
          <w:shd w:val="clear" w:color="auto" w:fill="ffffff"/>
          <w:rtl w:val="0"/>
          <w:lang w:val="en-US"/>
        </w:rPr>
        <w:t>    </w:t>
      </w:r>
    </w:p>
    <w:p>
      <w:pPr>
        <w:pStyle w:val="Default"/>
        <w:spacing w:line="360" w:lineRule="auto"/>
        <w:rPr>
          <w:rFonts w:ascii="Arial" w:cs="Arial" w:hAnsi="Arial" w:eastAsia="Arial"/>
          <w:color w:val="201f1e"/>
          <w:sz w:val="24"/>
          <w:szCs w:val="24"/>
          <w:u w:color="201f1e"/>
          <w:shd w:val="clear" w:color="auto" w:fill="ffffff"/>
          <w:lang w:val="en-US"/>
        </w:rPr>
      </w:pPr>
    </w:p>
    <w:p>
      <w:pPr>
        <w:pStyle w:val="Default"/>
        <w:spacing w:line="360" w:lineRule="auto"/>
        <w:rPr>
          <w:rFonts w:ascii="Arial" w:cs="Arial" w:hAnsi="Arial" w:eastAsia="Arial"/>
          <w:color w:val="201f1e"/>
          <w:sz w:val="24"/>
          <w:szCs w:val="24"/>
          <w:u w:color="201f1e"/>
          <w:shd w:val="clear" w:color="auto" w:fill="ffffff"/>
          <w:lang w:val="en-US"/>
        </w:rPr>
      </w:pPr>
    </w:p>
    <w:p>
      <w:pPr>
        <w:pStyle w:val="Default"/>
        <w:spacing w:line="360" w:lineRule="auto"/>
        <w:rPr>
          <w:rFonts w:ascii="Arial" w:cs="Arial" w:hAnsi="Arial" w:eastAsia="Arial"/>
          <w:color w:val="201f1e"/>
          <w:sz w:val="24"/>
          <w:szCs w:val="24"/>
          <w:u w:color="201f1e"/>
          <w:shd w:val="clear" w:color="auto" w:fill="ffffff"/>
          <w:lang w:val="en-US"/>
        </w:rPr>
      </w:pPr>
    </w:p>
    <w:p>
      <w:pPr>
        <w:pStyle w:val="Default"/>
        <w:spacing w:line="360" w:lineRule="auto"/>
        <w:rPr>
          <w:rFonts w:ascii="Arial" w:cs="Arial" w:hAnsi="Arial" w:eastAsia="Arial"/>
          <w:color w:val="201f1e"/>
          <w:sz w:val="24"/>
          <w:szCs w:val="24"/>
          <w:u w:color="201f1e"/>
          <w:shd w:val="clear" w:color="auto" w:fill="ffffff"/>
          <w:lang w:val="en-US"/>
        </w:rPr>
      </w:pPr>
    </w:p>
    <w:p>
      <w:pPr>
        <w:pStyle w:val="Default"/>
        <w:spacing w:line="360" w:lineRule="auto"/>
        <w:rPr>
          <w:rFonts w:ascii="Arial" w:cs="Arial" w:hAnsi="Arial" w:eastAsia="Arial"/>
          <w:color w:val="201f1e"/>
          <w:sz w:val="24"/>
          <w:szCs w:val="24"/>
          <w:u w:color="201f1e"/>
          <w:shd w:val="clear" w:color="auto" w:fill="ffffff"/>
          <w:lang w:val="en-US"/>
        </w:rPr>
      </w:pPr>
    </w:p>
    <w:p>
      <w:pPr>
        <w:pStyle w:val="Default"/>
        <w:spacing w:line="360" w:lineRule="auto"/>
        <w:rPr>
          <w:rFonts w:ascii="Arial" w:cs="Arial" w:hAnsi="Arial" w:eastAsia="Arial"/>
          <w:color w:val="201f1e"/>
          <w:sz w:val="24"/>
          <w:szCs w:val="24"/>
          <w:u w:color="201f1e"/>
          <w:shd w:val="clear" w:color="auto" w:fill="ffffff"/>
          <w:lang w:val="en-US"/>
        </w:rPr>
      </w:pPr>
    </w:p>
    <w:p>
      <w:pPr>
        <w:pStyle w:val="Default"/>
        <w:spacing w:line="360" w:lineRule="auto"/>
        <w:rPr>
          <w:rFonts w:ascii="Arial" w:cs="Arial" w:hAnsi="Arial" w:eastAsia="Arial"/>
          <w:color w:val="201f1e"/>
          <w:sz w:val="24"/>
          <w:szCs w:val="24"/>
          <w:u w:color="201f1e"/>
          <w:shd w:val="clear" w:color="auto" w:fill="ffffff"/>
          <w:lang w:val="en-US"/>
        </w:rPr>
      </w:pPr>
    </w:p>
    <w:p>
      <w:pPr>
        <w:pStyle w:val="Default"/>
        <w:spacing w:line="360" w:lineRule="auto"/>
        <w:rPr>
          <w:rFonts w:ascii="Arial" w:cs="Arial" w:hAnsi="Arial" w:eastAsia="Arial"/>
          <w:sz w:val="24"/>
          <w:szCs w:val="24"/>
          <w:shd w:val="clear" w:color="auto" w:fill="ffffff"/>
        </w:rPr>
      </w:pPr>
      <w:r>
        <w:rPr>
          <w:rFonts w:ascii="Arial" w:hAnsi="Arial" w:hint="default"/>
          <w:color w:val="201f1e"/>
          <w:sz w:val="24"/>
          <w:szCs w:val="24"/>
          <w:u w:color="201f1e"/>
          <w:shd w:val="clear" w:color="auto" w:fill="ffffff"/>
          <w:rtl w:val="0"/>
          <w:lang w:val="en-US"/>
        </w:rPr>
        <w:t> </w:t>
      </w:r>
      <w:r>
        <w:rPr>
          <w:rFonts w:ascii="Arial" w:hAnsi="Arial"/>
          <w:sz w:val="24"/>
          <w:szCs w:val="24"/>
          <w:shd w:val="clear" w:color="auto" w:fill="ffffff"/>
          <w:rtl w:val="0"/>
          <w:lang w:val="en-US"/>
        </w:rPr>
        <w:t>Finally, the third lens appeals to an examination of the consequences of legal paradoxes.</w:t>
      </w:r>
      <w:r>
        <w:rPr>
          <w:rFonts w:ascii="Arial" w:cs="Arial" w:hAnsi="Arial" w:eastAsia="Arial"/>
          <w:sz w:val="24"/>
          <w:szCs w:val="24"/>
          <w:u w:color="942092"/>
          <w:shd w:val="clear" w:color="auto" w:fill="ffffff"/>
          <w:vertAlign w:val="superscript"/>
          <w:lang w:val="pt-PT"/>
        </w:rPr>
        <w:footnoteReference w:id="6"/>
      </w:r>
      <w:r>
        <w:rPr>
          <w:rFonts w:ascii="Arial" w:hAnsi="Arial"/>
          <w:sz w:val="24"/>
          <w:szCs w:val="24"/>
          <w:shd w:val="clear" w:color="auto" w:fill="ffffff"/>
          <w:rtl w:val="0"/>
          <w:lang w:val="en-US"/>
        </w:rPr>
        <w:t xml:space="preserve"> Whether they be</w:t>
      </w:r>
      <w:r>
        <w:rPr>
          <w:rFonts w:ascii="Arial" w:hAnsi="Arial" w:hint="default"/>
          <w:color w:val="201f1e"/>
          <w:sz w:val="24"/>
          <w:szCs w:val="24"/>
          <w:u w:color="201f1e"/>
          <w:shd w:val="clear" w:color="auto" w:fill="ffffff"/>
          <w:rtl w:val="0"/>
          <w:lang w:val="en-US"/>
        </w:rPr>
        <w:t> </w:t>
      </w:r>
      <w:r>
        <w:rPr>
          <w:rFonts w:ascii="Arial" w:hAnsi="Arial"/>
          <w:color w:val="201f1e"/>
          <w:sz w:val="24"/>
          <w:szCs w:val="24"/>
          <w:u w:color="201f1e"/>
          <w:shd w:val="clear" w:color="auto" w:fill="ffffff"/>
          <w:rtl w:val="0"/>
          <w:lang w:val="pt-PT"/>
        </w:rPr>
        <w:t>social</w:t>
      </w:r>
      <w:r>
        <w:rPr>
          <w:rFonts w:ascii="Arial" w:hAnsi="Arial"/>
          <w:sz w:val="24"/>
          <w:szCs w:val="24"/>
          <w:shd w:val="clear" w:color="auto" w:fill="ffffff"/>
          <w:rtl w:val="0"/>
          <w:lang w:val="it-IT"/>
        </w:rPr>
        <w:t>, legal</w:t>
      </w:r>
      <w:r>
        <w:rPr>
          <w:rFonts w:ascii="Arial" w:hAnsi="Arial"/>
          <w:color w:val="201f1e"/>
          <w:sz w:val="24"/>
          <w:szCs w:val="24"/>
          <w:u w:color="201f1e"/>
          <w:shd w:val="clear" w:color="auto" w:fill="ffffff"/>
          <w:rtl w:val="0"/>
          <w:lang w:val="en-US"/>
        </w:rPr>
        <w:t>,</w:t>
      </w:r>
      <w:r>
        <w:rPr>
          <w:rFonts w:ascii="Arial" w:hAnsi="Arial" w:hint="default"/>
          <w:color w:val="201f1e"/>
          <w:sz w:val="24"/>
          <w:szCs w:val="24"/>
          <w:u w:color="201f1e"/>
          <w:shd w:val="clear" w:color="auto" w:fill="ffffff"/>
          <w:rtl w:val="0"/>
          <w:lang w:val="en-US"/>
        </w:rPr>
        <w:t> </w:t>
      </w:r>
      <w:r>
        <w:rPr>
          <w:rFonts w:ascii="Arial" w:hAnsi="Arial"/>
          <w:sz w:val="24"/>
          <w:szCs w:val="24"/>
          <w:shd w:val="clear" w:color="auto" w:fill="ffffff"/>
          <w:rtl w:val="0"/>
          <w:lang w:val="en-US"/>
        </w:rPr>
        <w:t>or anything in between.</w:t>
      </w:r>
      <w:r>
        <w:rPr>
          <w:rFonts w:ascii="Arial" w:hAnsi="Arial" w:hint="default"/>
          <w:color w:val="201f1e"/>
          <w:sz w:val="24"/>
          <w:szCs w:val="24"/>
          <w:u w:color="201f1e"/>
          <w:shd w:val="clear" w:color="auto" w:fill="ffffff"/>
          <w:rtl w:val="0"/>
          <w:lang w:val="en-US"/>
        </w:rPr>
        <w:t> </w:t>
      </w:r>
      <w:r>
        <w:rPr>
          <w:rFonts w:ascii="Arial" w:hAnsi="Arial"/>
          <w:color w:val="201f1e"/>
          <w:sz w:val="24"/>
          <w:szCs w:val="24"/>
          <w:u w:color="201f1e"/>
          <w:shd w:val="clear" w:color="auto" w:fill="ffffff"/>
          <w:rtl w:val="0"/>
          <w:lang w:val="en-US"/>
        </w:rPr>
        <w:t>One possible paradox could be</w:t>
      </w: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a focus on the victims subject to the biases of the law.</w:t>
      </w:r>
      <w:r>
        <w:rPr>
          <w:rFonts w:ascii="Arial" w:cs="Arial" w:hAnsi="Arial" w:eastAsia="Arial"/>
          <w:sz w:val="24"/>
          <w:szCs w:val="24"/>
          <w:u w:color="942092"/>
          <w:shd w:val="clear" w:color="auto" w:fill="ffffff"/>
          <w:vertAlign w:val="superscript"/>
          <w:lang w:val="pt-PT"/>
        </w:rPr>
        <w:footnoteReference w:id="7"/>
      </w:r>
      <w:r>
        <w:rPr>
          <w:rFonts w:ascii="Arial" w:hAnsi="Arial"/>
          <w:sz w:val="24"/>
          <w:szCs w:val="24"/>
          <w:u w:color="942092"/>
          <w:shd w:val="clear" w:color="auto" w:fill="ffffff"/>
          <w:rtl w:val="0"/>
          <w:lang w:val="en-US"/>
        </w:rPr>
        <w:t xml:space="preserve"> </w:t>
      </w:r>
      <w:r>
        <w:rPr>
          <w:rFonts w:ascii="Arial" w:hAnsi="Arial"/>
          <w:sz w:val="24"/>
          <w:szCs w:val="24"/>
          <w:shd w:val="clear" w:color="auto" w:fill="ffffff"/>
          <w:rtl w:val="0"/>
          <w:lang w:val="en-US"/>
        </w:rPr>
        <w:t>For example, in the aftermath of</w:t>
      </w:r>
      <w:r>
        <w:rPr>
          <w:rFonts w:ascii="Arial" w:hAnsi="Arial" w:hint="default"/>
          <w:sz w:val="24"/>
          <w:szCs w:val="24"/>
          <w:shd w:val="clear" w:color="auto" w:fill="ffffff"/>
          <w:rtl w:val="0"/>
          <w:lang w:val="en-US"/>
        </w:rPr>
        <w:t> </w:t>
      </w:r>
      <w:r>
        <w:rPr>
          <w:rFonts w:ascii="Arial" w:hAnsi="Arial"/>
          <w:i w:val="1"/>
          <w:iCs w:val="1"/>
          <w:sz w:val="24"/>
          <w:szCs w:val="24"/>
          <w:shd w:val="clear" w:color="auto" w:fill="ffffff"/>
          <w:rtl w:val="0"/>
          <w:lang w:val="de-DE"/>
        </w:rPr>
        <w:t>R v Jogee</w:t>
      </w:r>
      <w:r>
        <w:rPr>
          <w:rFonts w:ascii="Arial" w:hAnsi="Arial" w:hint="default"/>
          <w:i w:val="1"/>
          <w:iCs w:val="1"/>
          <w:sz w:val="24"/>
          <w:szCs w:val="24"/>
          <w:shd w:val="clear" w:color="auto" w:fill="ffffff"/>
          <w:rtl w:val="0"/>
          <w:lang w:val="en-US"/>
        </w:rPr>
        <w:t> </w:t>
      </w:r>
      <w:r>
        <w:rPr>
          <w:rFonts w:ascii="Arial" w:hAnsi="Arial"/>
          <w:i w:val="1"/>
          <w:iCs w:val="1"/>
          <w:sz w:val="24"/>
          <w:szCs w:val="24"/>
          <w:shd w:val="clear" w:color="auto" w:fill="ffffff"/>
          <w:rtl w:val="0"/>
          <w:lang w:val="pt-PT"/>
        </w:rPr>
        <w:t>[2016] UKSC 8</w:t>
      </w:r>
      <w:r>
        <w:rPr>
          <w:rFonts w:ascii="Arial" w:hAnsi="Arial"/>
          <w:sz w:val="24"/>
          <w:szCs w:val="24"/>
          <w:shd w:val="clear" w:color="auto" w:fill="ffffff"/>
          <w:rtl w:val="0"/>
          <w:lang w:val="en-US"/>
        </w:rPr>
        <w:t>, defendants</w:t>
      </w: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unjustly convicted under the now overturned law on joint enterprise are almost entirely unable to appeal their cases, due to the strictness of the test created. The paradox lies within the contradiction between correcting bad law and upholding justice.</w:t>
      </w:r>
    </w:p>
    <w:p>
      <w:pPr>
        <w:pStyle w:val="Default"/>
        <w:spacing w:line="360" w:lineRule="auto"/>
        <w:rPr>
          <w:rFonts w:ascii="Arial" w:cs="Arial" w:hAnsi="Arial" w:eastAsia="Arial"/>
          <w:sz w:val="24"/>
          <w:szCs w:val="24"/>
          <w:shd w:val="clear" w:color="auto" w:fill="ffffff"/>
        </w:rPr>
      </w:pPr>
    </w:p>
    <w:p>
      <w:pPr>
        <w:pStyle w:val="Default"/>
        <w:spacing w:line="360" w:lineRule="auto"/>
        <w:rPr>
          <w:rFonts w:ascii="Arial" w:cs="Arial" w:hAnsi="Arial" w:eastAsia="Arial"/>
          <w:color w:val="1d2129"/>
          <w:sz w:val="24"/>
          <w:szCs w:val="24"/>
          <w:u w:color="1d2129"/>
          <w:shd w:val="clear" w:color="auto" w:fill="ffffff"/>
        </w:rPr>
      </w:pPr>
      <w:r>
        <w:rPr>
          <w:rFonts w:ascii="Arial" w:hAnsi="Arial"/>
          <w:color w:val="201f1e"/>
          <w:sz w:val="24"/>
          <w:szCs w:val="24"/>
          <w:u w:color="201f1e"/>
          <w:shd w:val="clear" w:color="auto" w:fill="ffffff"/>
          <w:rtl w:val="0"/>
          <w:lang w:val="en-US"/>
        </w:rPr>
        <w:t>But further to this, and departing from Perez's and Teubner</w:t>
      </w:r>
      <w:r>
        <w:rPr>
          <w:rFonts w:ascii="Arial" w:hAnsi="Arial" w:hint="default"/>
          <w:color w:val="201f1e"/>
          <w:sz w:val="24"/>
          <w:szCs w:val="24"/>
          <w:u w:color="201f1e"/>
          <w:shd w:val="clear" w:color="auto" w:fill="ffffff"/>
          <w:rtl w:val="0"/>
          <w:lang w:val="en-US"/>
        </w:rPr>
        <w:t>’</w:t>
      </w:r>
      <w:r>
        <w:rPr>
          <w:rFonts w:ascii="Arial" w:hAnsi="Arial"/>
          <w:color w:val="201f1e"/>
          <w:sz w:val="24"/>
          <w:szCs w:val="24"/>
          <w:u w:color="201f1e"/>
          <w:shd w:val="clear" w:color="auto" w:fill="ffffff"/>
          <w:rtl w:val="0"/>
          <w:lang w:val="en-US"/>
        </w:rPr>
        <w:t xml:space="preserve">s helpful structure, we would also urge participants to take an even more holistic perspective when developing their ideas regarding our theme. This is because many paradoxes are often found in the encompassing </w:t>
      </w:r>
      <w:r>
        <w:rPr>
          <w:rFonts w:ascii="Arial" w:hAnsi="Arial"/>
          <w:color w:val="1d2129"/>
          <w:sz w:val="24"/>
          <w:szCs w:val="24"/>
          <w:u w:color="1d2129"/>
          <w:shd w:val="clear" w:color="auto" w:fill="ffffff"/>
          <w:rtl w:val="0"/>
          <w:lang w:val="en-US"/>
        </w:rPr>
        <w:t>socio-political-historical setting of the law. Accordingly, this results in law affecting areas which are, despite assertions to the contrary, inherently connected to it, such as: the economy, the complexities of societal behaviours and ideologies, as well as foreign affairs and international relations.</w:t>
      </w:r>
    </w:p>
    <w:p>
      <w:pPr>
        <w:pStyle w:val="Default"/>
        <w:spacing w:line="360" w:lineRule="auto"/>
        <w:rPr>
          <w:rFonts w:ascii="Arial" w:cs="Arial" w:hAnsi="Arial" w:eastAsia="Arial"/>
          <w:color w:val="1d2129"/>
          <w:sz w:val="24"/>
          <w:szCs w:val="24"/>
          <w:u w:color="1d2129"/>
          <w:shd w:val="clear" w:color="auto" w:fill="ffffff"/>
        </w:rPr>
      </w:pPr>
    </w:p>
    <w:p>
      <w:pPr>
        <w:pStyle w:val="Default"/>
        <w:spacing w:line="360" w:lineRule="auto"/>
      </w:pPr>
      <w:r>
        <w:rPr>
          <w:rFonts w:ascii="Arial" w:hAnsi="Arial" w:hint="default"/>
          <w:sz w:val="24"/>
          <w:szCs w:val="24"/>
          <w:shd w:val="clear" w:color="auto" w:fill="ffffff"/>
          <w:rtl w:val="0"/>
          <w:lang w:val="en-US"/>
        </w:rPr>
        <w:t>    </w:t>
      </w:r>
      <w:r>
        <w:rPr>
          <w:rFonts w:ascii="Arial" w:hAnsi="Arial"/>
          <w:sz w:val="24"/>
          <w:szCs w:val="24"/>
          <w:shd w:val="clear" w:color="auto" w:fill="ffffff"/>
          <w:rtl w:val="0"/>
          <w:lang w:val="en-US"/>
        </w:rPr>
        <w:t>It is important to note, however, that these lenses and examples serve as mere suggestion. We welcome any and all different perspectives, as long as participants are critically engaging with the theme.</w:t>
      </w:r>
      <w:r>
        <w:rPr>
          <w:rFonts w:ascii="Arial" w:cs="Arial" w:hAnsi="Arial" w:eastAsia="Arial"/>
        </w:rPr>
      </w:r>
    </w:p>
    <w:sectPr>
      <w:headerReference w:type="default" r:id="rId4"/>
      <w:footerReference w:type="default" r:id="rId5"/>
      <w:pgSz w:w="11900" w:h="16840" w:orient="portrait"/>
      <w:pgMar w:top="1440" w:right="1440" w:bottom="1134" w:left="1440"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Arial" w:cs="Arial" w:hAnsi="Arial" w:eastAsia="Arial"/>
          <w:sz w:val="24"/>
          <w:szCs w:val="24"/>
          <w:u w:color="942092"/>
          <w:shd w:val="clear" w:color="auto" w:fill="ffffff"/>
          <w:vertAlign w:val="superscript"/>
          <w:lang w:val="pt-PT"/>
        </w:rPr>
        <w:footnoteRef/>
      </w:r>
      <w:r>
        <w:rPr>
          <w:rFonts w:ascii="Helvetica" w:hAnsi="Helvetica"/>
          <w:sz w:val="20"/>
          <w:szCs w:val="20"/>
          <w:rtl w:val="0"/>
          <w:lang w:val="en-US"/>
        </w:rPr>
        <w:t xml:space="preserve"> Jean-Fran</w:t>
      </w:r>
      <w:r>
        <w:rPr>
          <w:rFonts w:ascii="Helvetica" w:hAnsi="Helvetica" w:hint="default"/>
          <w:sz w:val="20"/>
          <w:szCs w:val="20"/>
          <w:rtl w:val="0"/>
          <w:lang w:val="en-US"/>
        </w:rPr>
        <w:t>ç</w:t>
      </w:r>
      <w:r>
        <w:rPr>
          <w:rFonts w:ascii="Helvetica" w:hAnsi="Helvetica"/>
          <w:sz w:val="20"/>
          <w:szCs w:val="20"/>
          <w:rtl w:val="0"/>
          <w:lang w:val="en-US"/>
        </w:rPr>
        <w:t xml:space="preserve">ois Lyotard, </w:t>
      </w:r>
      <w:r>
        <w:rPr>
          <w:rFonts w:ascii="Helvetica" w:hAnsi="Helvetica"/>
          <w:i w:val="1"/>
          <w:iCs w:val="1"/>
          <w:sz w:val="20"/>
          <w:szCs w:val="20"/>
          <w:rtl w:val="0"/>
          <w:lang w:val="en-US"/>
        </w:rPr>
        <w:t>The Differend Phrases in Dispute</w:t>
      </w:r>
      <w:r>
        <w:rPr>
          <w:rFonts w:ascii="Helvetica" w:hAnsi="Helvetica"/>
          <w:sz w:val="20"/>
          <w:szCs w:val="20"/>
          <w:rtl w:val="0"/>
          <w:lang w:val="en-US"/>
        </w:rPr>
        <w:t xml:space="preserve"> (University of Minnesota Press 1996) 6</w:t>
      </w:r>
    </w:p>
  </w:footnote>
  <w:footnote w:id="2">
    <w:p>
      <w:pPr>
        <w:pStyle w:val="Footnote"/>
      </w:pPr>
      <w:r>
        <w:rPr>
          <w:rFonts w:ascii="Arial" w:cs="Arial" w:hAnsi="Arial" w:eastAsia="Arial"/>
          <w:sz w:val="24"/>
          <w:szCs w:val="24"/>
          <w:shd w:val="clear" w:color="auto" w:fill="ffffff"/>
          <w:vertAlign w:val="superscript"/>
        </w:rPr>
        <w:footnoteRef/>
      </w:r>
      <w:r>
        <w:rPr>
          <w:rFonts w:cs="Arial Unicode MS" w:eastAsia="Arial Unicode MS"/>
          <w:rtl w:val="0"/>
        </w:rPr>
        <w:t xml:space="preserve"> </w:t>
      </w:r>
      <w:r>
        <w:rPr>
          <w:rFonts w:ascii="Helvetica" w:hAnsi="Helvetica"/>
          <w:sz w:val="20"/>
          <w:szCs w:val="20"/>
          <w:rtl w:val="0"/>
          <w:lang w:val="en-US"/>
        </w:rPr>
        <w:t xml:space="preserve">Oren Perez, and Gunther Teubner eds, Paradoxes and Inconsistencies in the Law (Bloomsbury Publishing 2005) </w:t>
      </w:r>
    </w:p>
  </w:footnote>
  <w:footnote w:id="3">
    <w:p>
      <w:pPr>
        <w:pStyle w:val="Footnote"/>
      </w:pPr>
      <w:r>
        <w:rPr>
          <w:rFonts w:ascii="Arial" w:cs="Arial" w:hAnsi="Arial" w:eastAsia="Arial"/>
          <w:sz w:val="24"/>
          <w:szCs w:val="24"/>
          <w:u w:color="942092"/>
          <w:shd w:val="clear" w:color="auto" w:fill="ffffff"/>
          <w:vertAlign w:val="superscript"/>
          <w:lang w:val="pt-PT"/>
        </w:rPr>
        <w:footnoteRef/>
      </w:r>
      <w:r>
        <w:rPr>
          <w:rFonts w:ascii="Helvetica" w:hAnsi="Helvetica"/>
          <w:sz w:val="20"/>
          <w:szCs w:val="20"/>
          <w:rtl w:val="0"/>
          <w:lang w:val="en-US"/>
        </w:rPr>
        <w:t xml:space="preserve"> ibid</w:t>
      </w:r>
    </w:p>
  </w:footnote>
  <w:footnote w:id="4">
    <w:p>
      <w:pPr>
        <w:pStyle w:val="Footnote"/>
      </w:pPr>
      <w:r>
        <w:rPr>
          <w:rFonts w:ascii="Arial" w:cs="Arial" w:hAnsi="Arial" w:eastAsia="Arial"/>
          <w:sz w:val="24"/>
          <w:szCs w:val="24"/>
          <w:shd w:val="clear" w:color="auto" w:fill="ffffff"/>
          <w:vertAlign w:val="superscript"/>
        </w:rPr>
        <w:footnoteRef/>
      </w:r>
      <w:r>
        <w:rPr>
          <w:rFonts w:cs="Arial Unicode MS" w:eastAsia="Arial Unicode MS"/>
          <w:rtl w:val="0"/>
        </w:rPr>
        <w:t xml:space="preserve"> J. A. G. Griffith, </w:t>
      </w:r>
      <w:r>
        <w:rPr>
          <w:rFonts w:cs="Arial Unicode MS" w:eastAsia="Arial Unicode MS"/>
          <w:i w:val="1"/>
          <w:iCs w:val="1"/>
          <w:rtl w:val="0"/>
          <w:lang w:val="en-US"/>
        </w:rPr>
        <w:t>The Politics of the Judiciary</w:t>
      </w:r>
      <w:r>
        <w:rPr>
          <w:rFonts w:cs="Arial Unicode MS" w:eastAsia="Arial Unicode MS"/>
          <w:rtl w:val="0"/>
        </w:rPr>
        <w:t xml:space="preserve"> (Manchester University Press 1977)</w:t>
      </w:r>
    </w:p>
  </w:footnote>
  <w:footnote w:id="5">
    <w:p>
      <w:pPr>
        <w:pStyle w:val="Footnote"/>
      </w:pPr>
      <w:r>
        <w:rPr>
          <w:rFonts w:ascii="Arial" w:cs="Arial" w:hAnsi="Arial" w:eastAsia="Arial"/>
          <w:sz w:val="24"/>
          <w:szCs w:val="24"/>
          <w:u w:color="942092"/>
          <w:shd w:val="clear" w:color="auto" w:fill="ffffff"/>
          <w:vertAlign w:val="superscript"/>
          <w:lang w:val="pt-PT"/>
        </w:rPr>
        <w:footnoteRef/>
      </w:r>
      <w:r>
        <w:rPr>
          <w:rFonts w:ascii="Helvetica" w:hAnsi="Helvetica"/>
          <w:sz w:val="20"/>
          <w:szCs w:val="20"/>
          <w:rtl w:val="0"/>
          <w:lang w:val="fr-FR"/>
        </w:rPr>
        <w:t xml:space="preserve"> </w:t>
      </w:r>
      <w:r>
        <w:rPr>
          <w:rFonts w:ascii="Helvetica" w:hAnsi="Helvetica"/>
          <w:sz w:val="20"/>
          <w:szCs w:val="20"/>
          <w:rtl w:val="0"/>
          <w:lang w:val="en-US"/>
        </w:rPr>
        <w:t>ibid</w:t>
      </w:r>
    </w:p>
  </w:footnote>
  <w:footnote w:id="6">
    <w:p>
      <w:pPr>
        <w:pStyle w:val="Footnote"/>
      </w:pPr>
      <w:r>
        <w:rPr>
          <w:rFonts w:ascii="Arial" w:cs="Arial" w:hAnsi="Arial" w:eastAsia="Arial"/>
          <w:sz w:val="24"/>
          <w:szCs w:val="24"/>
          <w:u w:color="942092"/>
          <w:shd w:val="clear" w:color="auto" w:fill="ffffff"/>
          <w:vertAlign w:val="superscript"/>
          <w:lang w:val="pt-PT"/>
        </w:rPr>
        <w:footnoteRef/>
      </w:r>
      <w:r>
        <w:rPr>
          <w:rFonts w:ascii="Helvetica" w:hAnsi="Helvetica"/>
          <w:sz w:val="20"/>
          <w:szCs w:val="20"/>
          <w:rtl w:val="0"/>
          <w:lang w:val="fr-FR"/>
        </w:rPr>
        <w:t xml:space="preserve"> </w:t>
      </w:r>
      <w:r>
        <w:rPr>
          <w:rFonts w:ascii="Helvetica" w:hAnsi="Helvetica"/>
          <w:sz w:val="20"/>
          <w:szCs w:val="20"/>
          <w:rtl w:val="0"/>
          <w:lang w:val="en-US"/>
        </w:rPr>
        <w:t>ibid</w:t>
      </w:r>
    </w:p>
  </w:footnote>
  <w:footnote w:id="7">
    <w:p>
      <w:pPr>
        <w:pStyle w:val="Footnote"/>
      </w:pPr>
      <w:r>
        <w:rPr>
          <w:rFonts w:ascii="Arial" w:cs="Arial" w:hAnsi="Arial" w:eastAsia="Arial"/>
          <w:sz w:val="24"/>
          <w:szCs w:val="24"/>
          <w:u w:color="942092"/>
          <w:shd w:val="clear" w:color="auto" w:fill="ffffff"/>
          <w:vertAlign w:val="superscript"/>
          <w:lang w:val="pt-PT"/>
        </w:rPr>
        <w:footnoteRef/>
      </w:r>
      <w:r>
        <w:rPr>
          <w:rFonts w:ascii="Helvetica" w:hAnsi="Helvetica"/>
          <w:sz w:val="20"/>
          <w:szCs w:val="20"/>
          <w:rtl w:val="0"/>
          <w:lang w:val="fr-FR"/>
        </w:rPr>
        <w:t xml:space="preserve"> </w:t>
      </w:r>
      <w:r>
        <w:rPr>
          <w:rFonts w:ascii="Helvetica" w:hAnsi="Helvetica"/>
          <w:sz w:val="20"/>
          <w:szCs w:val="20"/>
          <w:rtl w:val="0"/>
          <w:lang w:val="en-US"/>
        </w:rPr>
        <w:t>ibid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wp:anchor distT="152400" distB="152400" distL="152400" distR="152400" simplePos="0" relativeHeight="251658240" behindDoc="1" locked="0" layoutInCell="1" allowOverlap="1">
          <wp:simplePos x="0" y="0"/>
          <wp:positionH relativeFrom="page">
            <wp:posOffset>571500</wp:posOffset>
          </wp:positionH>
          <wp:positionV relativeFrom="page">
            <wp:posOffset>114300</wp:posOffset>
          </wp:positionV>
          <wp:extent cx="5727700" cy="212026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5727700" cy="212026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