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64" w:rsidRDefault="00E65BDA" w:rsidP="00E65BDA">
      <w:pPr>
        <w:jc w:val="center"/>
        <w:rPr>
          <w:b/>
          <w:u w:val="single"/>
        </w:rPr>
      </w:pPr>
      <w:r>
        <w:rPr>
          <w:b/>
          <w:u w:val="single"/>
        </w:rPr>
        <w:t>Weapons, Wounds and Illness on the Western Front Exercise</w:t>
      </w:r>
    </w:p>
    <w:p w:rsidR="00E65BDA" w:rsidRDefault="00E65BDA" w:rsidP="00E65BDA">
      <w:pPr>
        <w:jc w:val="center"/>
        <w:rPr>
          <w:b/>
          <w:u w:val="single"/>
        </w:rPr>
      </w:pPr>
    </w:p>
    <w:p w:rsidR="00AC4AAD" w:rsidRDefault="00AC4AAD" w:rsidP="00E65BDA">
      <w:pPr>
        <w:jc w:val="center"/>
        <w:rPr>
          <w:b/>
          <w:u w:val="single"/>
        </w:rPr>
      </w:pPr>
    </w:p>
    <w:p w:rsidR="00E65BDA" w:rsidRDefault="00C20C3E" w:rsidP="00E65BDA">
      <w:pPr>
        <w:rPr>
          <w:b/>
        </w:rPr>
      </w:pPr>
      <w:r>
        <w:rPr>
          <w:b/>
        </w:rPr>
        <w:t>Source A</w:t>
      </w:r>
    </w:p>
    <w:p w:rsidR="00C20C3E" w:rsidRDefault="00C20C3E" w:rsidP="00C71951">
      <w:pPr>
        <w:jc w:val="both"/>
      </w:pPr>
      <w:r>
        <w:t xml:space="preserve">The symptoms all pointed to the gas used being Chlorine. The notice given to troops in the majority of cases that there was </w:t>
      </w:r>
      <w:r w:rsidR="00C71951">
        <w:t>a gas attack appears to have been very short. Several men stated they had no time to get their helmets on before they were gassed. Some men stated they never had a gas helmet on before. One officer was reported to have been seen walking about with his helmet pulled on and no attempt made at tucking it in…Several men stated on pulling on their helmets they were alarmed by the sensation of choking and pulled them off again.</w:t>
      </w:r>
    </w:p>
    <w:p w:rsidR="00C71951" w:rsidRDefault="00C71951" w:rsidP="00C71951">
      <w:pPr>
        <w:jc w:val="both"/>
        <w:rPr>
          <w:b/>
          <w:i/>
        </w:rPr>
      </w:pPr>
      <w:r>
        <w:rPr>
          <w:b/>
          <w:i/>
        </w:rPr>
        <w:t>(Summary of reports received from evidence obtained from Officers Commanding Field Ambulances in the recent German Gas Attack on 16</w:t>
      </w:r>
      <w:r w:rsidRPr="00C71951">
        <w:rPr>
          <w:b/>
          <w:i/>
          <w:vertAlign w:val="superscript"/>
        </w:rPr>
        <w:t>th</w:t>
      </w:r>
      <w:r>
        <w:rPr>
          <w:b/>
          <w:i/>
        </w:rPr>
        <w:t xml:space="preserve"> Division, 28</w:t>
      </w:r>
      <w:r w:rsidRPr="00C71951">
        <w:rPr>
          <w:b/>
          <w:i/>
          <w:vertAlign w:val="superscript"/>
        </w:rPr>
        <w:t>th</w:t>
      </w:r>
      <w:r>
        <w:rPr>
          <w:b/>
          <w:i/>
        </w:rPr>
        <w:t xml:space="preserve"> and 29</w:t>
      </w:r>
      <w:r w:rsidRPr="00C71951">
        <w:rPr>
          <w:b/>
          <w:i/>
          <w:vertAlign w:val="superscript"/>
        </w:rPr>
        <w:t>th</w:t>
      </w:r>
      <w:r>
        <w:rPr>
          <w:b/>
          <w:i/>
        </w:rPr>
        <w:t xml:space="preserve"> April 1916)</w:t>
      </w:r>
    </w:p>
    <w:p w:rsidR="008E6495" w:rsidRDefault="008E6495" w:rsidP="00C71951">
      <w:pPr>
        <w:jc w:val="both"/>
        <w:rPr>
          <w:b/>
          <w:i/>
        </w:rPr>
      </w:pPr>
    </w:p>
    <w:p w:rsidR="00726D11" w:rsidRDefault="00726D11" w:rsidP="00C71951">
      <w:pPr>
        <w:jc w:val="both"/>
        <w:rPr>
          <w:b/>
          <w:i/>
        </w:rPr>
      </w:pPr>
    </w:p>
    <w:p w:rsidR="008E6495" w:rsidRDefault="008E6495" w:rsidP="00C71951">
      <w:pPr>
        <w:jc w:val="both"/>
        <w:rPr>
          <w:b/>
        </w:rPr>
      </w:pPr>
      <w:r>
        <w:rPr>
          <w:b/>
        </w:rPr>
        <w:t>Source B</w:t>
      </w:r>
    </w:p>
    <w:p w:rsidR="008E6495" w:rsidRDefault="008E6495" w:rsidP="008E6495">
      <w:pPr>
        <w:jc w:val="both"/>
      </w:pPr>
      <w:r>
        <w:t>1. Always put on your Respirator if there is the least smell of gas. Do not think that the gas is useless, because it does not affect you immediately.</w:t>
      </w:r>
    </w:p>
    <w:p w:rsidR="008E6495" w:rsidRDefault="008E6495" w:rsidP="008E6495">
      <w:pPr>
        <w:jc w:val="both"/>
      </w:pPr>
      <w:r>
        <w:t>2. If a man’s clothing is splashed with Mustard Gas he will be a source of danger to himself and others until the clothing has been changed.</w:t>
      </w:r>
    </w:p>
    <w:p w:rsidR="008E6495" w:rsidRDefault="00CE65BD" w:rsidP="008E6495">
      <w:pPr>
        <w:jc w:val="both"/>
      </w:pPr>
      <w:r>
        <w:t>3. Remember that Mustard Gas remains on the ground for a long time after the shelling ceases. This is especially the case in the morning after night shelling, when the sun begins to warm the ground.</w:t>
      </w:r>
    </w:p>
    <w:p w:rsidR="00CE65BD" w:rsidRDefault="00CE65BD" w:rsidP="008E6495">
      <w:pPr>
        <w:jc w:val="both"/>
        <w:rPr>
          <w:b/>
          <w:i/>
        </w:rPr>
      </w:pPr>
      <w:r>
        <w:rPr>
          <w:b/>
          <w:i/>
        </w:rPr>
        <w:t>(Pamphlet on Mustard Gas issued by First Army on the Western Front, May 1918)</w:t>
      </w:r>
    </w:p>
    <w:p w:rsidR="00CE65BD" w:rsidRDefault="00CE65BD" w:rsidP="008E6495">
      <w:pPr>
        <w:jc w:val="both"/>
        <w:rPr>
          <w:b/>
          <w:i/>
        </w:rPr>
      </w:pPr>
    </w:p>
    <w:p w:rsidR="00921D8F" w:rsidRDefault="00921D8F" w:rsidP="008E6495">
      <w:pPr>
        <w:jc w:val="both"/>
        <w:rPr>
          <w:b/>
          <w:i/>
        </w:rPr>
      </w:pPr>
    </w:p>
    <w:p w:rsidR="00CE65BD" w:rsidRPr="00921D8F" w:rsidRDefault="00CE65BD" w:rsidP="00921D8F">
      <w:pPr>
        <w:pStyle w:val="ListParagraph"/>
        <w:numPr>
          <w:ilvl w:val="0"/>
          <w:numId w:val="2"/>
        </w:numPr>
        <w:ind w:left="0" w:hanging="284"/>
        <w:jc w:val="both"/>
        <w:rPr>
          <w:b/>
        </w:rPr>
      </w:pPr>
      <w:r w:rsidRPr="00921D8F">
        <w:rPr>
          <w:b/>
        </w:rPr>
        <w:t>According to Source A and B, what problems did soldiers face when they were gassed? (State at least 4 problems)</w:t>
      </w:r>
    </w:p>
    <w:p w:rsidR="00CE65BD" w:rsidRDefault="00CE65BD" w:rsidP="008E6495">
      <w:pPr>
        <w:jc w:val="both"/>
        <w:rPr>
          <w:b/>
        </w:rPr>
      </w:pPr>
    </w:p>
    <w:p w:rsidR="00AC4AAD" w:rsidRDefault="00AC4AAD" w:rsidP="008E6495">
      <w:pPr>
        <w:jc w:val="both"/>
        <w:rPr>
          <w:b/>
        </w:rPr>
      </w:pPr>
    </w:p>
    <w:p w:rsidR="00726D11" w:rsidRDefault="0064198E" w:rsidP="008E6495">
      <w:pPr>
        <w:jc w:val="both"/>
        <w:rPr>
          <w:b/>
        </w:rPr>
      </w:pPr>
      <w:r>
        <w:rPr>
          <w:b/>
        </w:rPr>
        <w:t>Source C</w:t>
      </w:r>
    </w:p>
    <w:tbl>
      <w:tblPr>
        <w:tblStyle w:val="TableGrid"/>
        <w:tblW w:w="10065" w:type="dxa"/>
        <w:tblInd w:w="-289" w:type="dxa"/>
        <w:tblLayout w:type="fixed"/>
        <w:tblLook w:val="04A0" w:firstRow="1" w:lastRow="0" w:firstColumn="1" w:lastColumn="0" w:noHBand="0" w:noVBand="1"/>
      </w:tblPr>
      <w:tblGrid>
        <w:gridCol w:w="1135"/>
        <w:gridCol w:w="985"/>
        <w:gridCol w:w="1294"/>
        <w:gridCol w:w="1130"/>
        <w:gridCol w:w="844"/>
        <w:gridCol w:w="1134"/>
        <w:gridCol w:w="1134"/>
        <w:gridCol w:w="850"/>
        <w:gridCol w:w="709"/>
        <w:gridCol w:w="850"/>
      </w:tblGrid>
      <w:tr w:rsidR="0064198E" w:rsidTr="0064198E">
        <w:trPr>
          <w:trHeight w:val="294"/>
        </w:trPr>
        <w:tc>
          <w:tcPr>
            <w:tcW w:w="1135" w:type="dxa"/>
          </w:tcPr>
          <w:p w:rsidR="0064198E" w:rsidRDefault="0064198E" w:rsidP="0064198E">
            <w:pPr>
              <w:ind w:left="-822"/>
              <w:jc w:val="both"/>
              <w:rPr>
                <w:b/>
              </w:rPr>
            </w:pPr>
          </w:p>
        </w:tc>
        <w:tc>
          <w:tcPr>
            <w:tcW w:w="985" w:type="dxa"/>
          </w:tcPr>
          <w:p w:rsidR="0064198E" w:rsidRDefault="0064198E" w:rsidP="008E6495">
            <w:pPr>
              <w:jc w:val="both"/>
              <w:rPr>
                <w:b/>
              </w:rPr>
            </w:pPr>
            <w:r>
              <w:rPr>
                <w:b/>
              </w:rPr>
              <w:t>Total</w:t>
            </w:r>
          </w:p>
        </w:tc>
        <w:tc>
          <w:tcPr>
            <w:tcW w:w="1294" w:type="dxa"/>
          </w:tcPr>
          <w:p w:rsidR="0064198E" w:rsidRDefault="0064198E" w:rsidP="008E6495">
            <w:pPr>
              <w:jc w:val="both"/>
              <w:rPr>
                <w:b/>
              </w:rPr>
            </w:pPr>
            <w:r>
              <w:rPr>
                <w:b/>
              </w:rPr>
              <w:t>Head/Face/</w:t>
            </w:r>
          </w:p>
          <w:p w:rsidR="0064198E" w:rsidRDefault="0064198E" w:rsidP="008E6495">
            <w:pPr>
              <w:jc w:val="both"/>
              <w:rPr>
                <w:b/>
              </w:rPr>
            </w:pPr>
            <w:r>
              <w:rPr>
                <w:b/>
              </w:rPr>
              <w:t>Neck</w:t>
            </w:r>
          </w:p>
        </w:tc>
        <w:tc>
          <w:tcPr>
            <w:tcW w:w="1130" w:type="dxa"/>
          </w:tcPr>
          <w:p w:rsidR="0064198E" w:rsidRDefault="0064198E" w:rsidP="008E6495">
            <w:pPr>
              <w:jc w:val="both"/>
              <w:rPr>
                <w:b/>
              </w:rPr>
            </w:pPr>
            <w:r>
              <w:rPr>
                <w:b/>
              </w:rPr>
              <w:t>Shoulder/</w:t>
            </w:r>
          </w:p>
          <w:p w:rsidR="0064198E" w:rsidRDefault="0064198E" w:rsidP="008E6495">
            <w:pPr>
              <w:jc w:val="both"/>
              <w:rPr>
                <w:b/>
              </w:rPr>
            </w:pPr>
            <w:r>
              <w:rPr>
                <w:b/>
              </w:rPr>
              <w:t>Back</w:t>
            </w:r>
          </w:p>
        </w:tc>
        <w:tc>
          <w:tcPr>
            <w:tcW w:w="844" w:type="dxa"/>
          </w:tcPr>
          <w:p w:rsidR="0064198E" w:rsidRDefault="0064198E" w:rsidP="0064198E">
            <w:pPr>
              <w:jc w:val="both"/>
              <w:rPr>
                <w:b/>
              </w:rPr>
            </w:pPr>
            <w:r>
              <w:rPr>
                <w:b/>
              </w:rPr>
              <w:t>Chest</w:t>
            </w:r>
          </w:p>
          <w:p w:rsidR="0064198E" w:rsidRDefault="0064198E" w:rsidP="008E6495">
            <w:pPr>
              <w:jc w:val="both"/>
              <w:rPr>
                <w:b/>
              </w:rPr>
            </w:pPr>
          </w:p>
        </w:tc>
        <w:tc>
          <w:tcPr>
            <w:tcW w:w="1134" w:type="dxa"/>
          </w:tcPr>
          <w:p w:rsidR="0064198E" w:rsidRDefault="0064198E" w:rsidP="008E6495">
            <w:pPr>
              <w:jc w:val="both"/>
              <w:rPr>
                <w:b/>
              </w:rPr>
            </w:pPr>
            <w:r>
              <w:rPr>
                <w:b/>
              </w:rPr>
              <w:t>Abdomen</w:t>
            </w:r>
          </w:p>
        </w:tc>
        <w:tc>
          <w:tcPr>
            <w:tcW w:w="1134" w:type="dxa"/>
          </w:tcPr>
          <w:p w:rsidR="0064198E" w:rsidRDefault="0064198E" w:rsidP="008E6495">
            <w:pPr>
              <w:jc w:val="both"/>
              <w:rPr>
                <w:b/>
              </w:rPr>
            </w:pPr>
            <w:r>
              <w:rPr>
                <w:b/>
              </w:rPr>
              <w:t>Buttocks</w:t>
            </w:r>
          </w:p>
        </w:tc>
        <w:tc>
          <w:tcPr>
            <w:tcW w:w="850" w:type="dxa"/>
          </w:tcPr>
          <w:p w:rsidR="0064198E" w:rsidRDefault="0064198E" w:rsidP="008E6495">
            <w:pPr>
              <w:jc w:val="both"/>
              <w:rPr>
                <w:b/>
              </w:rPr>
            </w:pPr>
            <w:r>
              <w:rPr>
                <w:b/>
              </w:rPr>
              <w:t>Thighs</w:t>
            </w:r>
          </w:p>
        </w:tc>
        <w:tc>
          <w:tcPr>
            <w:tcW w:w="709" w:type="dxa"/>
          </w:tcPr>
          <w:p w:rsidR="0064198E" w:rsidRDefault="0064198E" w:rsidP="008E6495">
            <w:pPr>
              <w:jc w:val="both"/>
              <w:rPr>
                <w:b/>
              </w:rPr>
            </w:pPr>
            <w:r>
              <w:rPr>
                <w:b/>
              </w:rPr>
              <w:t>Legs</w:t>
            </w:r>
          </w:p>
        </w:tc>
        <w:tc>
          <w:tcPr>
            <w:tcW w:w="850" w:type="dxa"/>
          </w:tcPr>
          <w:p w:rsidR="0064198E" w:rsidRDefault="0064198E" w:rsidP="008E6495">
            <w:pPr>
              <w:jc w:val="both"/>
              <w:rPr>
                <w:b/>
              </w:rPr>
            </w:pPr>
            <w:r>
              <w:rPr>
                <w:b/>
              </w:rPr>
              <w:t>Arms</w:t>
            </w:r>
          </w:p>
        </w:tc>
      </w:tr>
      <w:tr w:rsidR="0064198E" w:rsidTr="0064198E">
        <w:trPr>
          <w:trHeight w:val="275"/>
        </w:trPr>
        <w:tc>
          <w:tcPr>
            <w:tcW w:w="1135" w:type="dxa"/>
          </w:tcPr>
          <w:p w:rsidR="0064198E" w:rsidRDefault="0064198E" w:rsidP="008E6495">
            <w:pPr>
              <w:jc w:val="both"/>
              <w:rPr>
                <w:b/>
                <w:i/>
              </w:rPr>
            </w:pPr>
            <w:r w:rsidRPr="00FA297C">
              <w:rPr>
                <w:b/>
                <w:i/>
              </w:rPr>
              <w:t>Bullets</w:t>
            </w:r>
          </w:p>
          <w:p w:rsidR="00FA297C" w:rsidRPr="00FA297C" w:rsidRDefault="00FA297C" w:rsidP="008E6495">
            <w:pPr>
              <w:jc w:val="both"/>
              <w:rPr>
                <w:b/>
                <w:i/>
              </w:rPr>
            </w:pPr>
          </w:p>
        </w:tc>
        <w:tc>
          <w:tcPr>
            <w:tcW w:w="985" w:type="dxa"/>
          </w:tcPr>
          <w:p w:rsidR="0064198E" w:rsidRPr="00784662" w:rsidRDefault="00784662" w:rsidP="00784662">
            <w:pPr>
              <w:jc w:val="center"/>
            </w:pPr>
            <w:r>
              <w:t>897</w:t>
            </w:r>
          </w:p>
        </w:tc>
        <w:tc>
          <w:tcPr>
            <w:tcW w:w="1294" w:type="dxa"/>
          </w:tcPr>
          <w:p w:rsidR="0064198E" w:rsidRPr="00784662" w:rsidRDefault="00784662" w:rsidP="00784662">
            <w:pPr>
              <w:jc w:val="center"/>
            </w:pPr>
            <w:r>
              <w:t>212</w:t>
            </w:r>
          </w:p>
        </w:tc>
        <w:tc>
          <w:tcPr>
            <w:tcW w:w="1130" w:type="dxa"/>
          </w:tcPr>
          <w:p w:rsidR="0064198E" w:rsidRPr="00784662" w:rsidRDefault="00784662" w:rsidP="00784662">
            <w:pPr>
              <w:jc w:val="center"/>
            </w:pPr>
            <w:r>
              <w:t>74</w:t>
            </w:r>
          </w:p>
        </w:tc>
        <w:tc>
          <w:tcPr>
            <w:tcW w:w="844" w:type="dxa"/>
          </w:tcPr>
          <w:p w:rsidR="0064198E" w:rsidRPr="00784662" w:rsidRDefault="00FA297C" w:rsidP="00784662">
            <w:pPr>
              <w:jc w:val="center"/>
            </w:pPr>
            <w:r>
              <w:t>60</w:t>
            </w:r>
          </w:p>
        </w:tc>
        <w:tc>
          <w:tcPr>
            <w:tcW w:w="1134" w:type="dxa"/>
          </w:tcPr>
          <w:p w:rsidR="0064198E" w:rsidRPr="00784662" w:rsidRDefault="00FA297C" w:rsidP="00784662">
            <w:pPr>
              <w:jc w:val="center"/>
            </w:pPr>
            <w:r>
              <w:t>45</w:t>
            </w:r>
          </w:p>
        </w:tc>
        <w:tc>
          <w:tcPr>
            <w:tcW w:w="1134" w:type="dxa"/>
          </w:tcPr>
          <w:p w:rsidR="0064198E" w:rsidRPr="00784662" w:rsidRDefault="00FA297C" w:rsidP="00784662">
            <w:pPr>
              <w:jc w:val="center"/>
            </w:pPr>
            <w:r>
              <w:t>32</w:t>
            </w:r>
          </w:p>
        </w:tc>
        <w:tc>
          <w:tcPr>
            <w:tcW w:w="850" w:type="dxa"/>
          </w:tcPr>
          <w:p w:rsidR="0064198E" w:rsidRPr="00784662" w:rsidRDefault="00FA297C" w:rsidP="00784662">
            <w:pPr>
              <w:jc w:val="center"/>
            </w:pPr>
            <w:r>
              <w:t>110</w:t>
            </w:r>
          </w:p>
        </w:tc>
        <w:tc>
          <w:tcPr>
            <w:tcW w:w="709" w:type="dxa"/>
          </w:tcPr>
          <w:p w:rsidR="0064198E" w:rsidRPr="00784662" w:rsidRDefault="00FA297C" w:rsidP="00784662">
            <w:pPr>
              <w:jc w:val="center"/>
            </w:pPr>
            <w:r>
              <w:t>95</w:t>
            </w:r>
          </w:p>
        </w:tc>
        <w:tc>
          <w:tcPr>
            <w:tcW w:w="850" w:type="dxa"/>
          </w:tcPr>
          <w:p w:rsidR="0064198E" w:rsidRPr="00784662" w:rsidRDefault="00FA297C" w:rsidP="00784662">
            <w:pPr>
              <w:jc w:val="center"/>
            </w:pPr>
            <w:r>
              <w:t>79</w:t>
            </w:r>
          </w:p>
        </w:tc>
      </w:tr>
      <w:tr w:rsidR="0064198E" w:rsidTr="0064198E">
        <w:trPr>
          <w:trHeight w:val="294"/>
        </w:trPr>
        <w:tc>
          <w:tcPr>
            <w:tcW w:w="1135" w:type="dxa"/>
          </w:tcPr>
          <w:p w:rsidR="0064198E" w:rsidRDefault="0064198E" w:rsidP="008E6495">
            <w:pPr>
              <w:jc w:val="both"/>
              <w:rPr>
                <w:b/>
                <w:i/>
              </w:rPr>
            </w:pPr>
            <w:r w:rsidRPr="00FA297C">
              <w:rPr>
                <w:b/>
                <w:i/>
              </w:rPr>
              <w:t>Artillery</w:t>
            </w:r>
          </w:p>
          <w:p w:rsidR="00FA297C" w:rsidRPr="00FA297C" w:rsidRDefault="00FA297C" w:rsidP="008E6495">
            <w:pPr>
              <w:jc w:val="both"/>
              <w:rPr>
                <w:b/>
                <w:i/>
              </w:rPr>
            </w:pPr>
          </w:p>
        </w:tc>
        <w:tc>
          <w:tcPr>
            <w:tcW w:w="985" w:type="dxa"/>
          </w:tcPr>
          <w:p w:rsidR="0064198E" w:rsidRPr="00784662" w:rsidRDefault="00784662" w:rsidP="00784662">
            <w:pPr>
              <w:jc w:val="center"/>
            </w:pPr>
            <w:r>
              <w:t>2,171</w:t>
            </w:r>
          </w:p>
        </w:tc>
        <w:tc>
          <w:tcPr>
            <w:tcW w:w="1294" w:type="dxa"/>
          </w:tcPr>
          <w:p w:rsidR="0064198E" w:rsidRPr="00784662" w:rsidRDefault="00784662" w:rsidP="00784662">
            <w:pPr>
              <w:jc w:val="center"/>
            </w:pPr>
            <w:r>
              <w:t>500</w:t>
            </w:r>
          </w:p>
        </w:tc>
        <w:tc>
          <w:tcPr>
            <w:tcW w:w="1130" w:type="dxa"/>
          </w:tcPr>
          <w:p w:rsidR="0064198E" w:rsidRPr="00784662" w:rsidRDefault="00784662" w:rsidP="00784662">
            <w:pPr>
              <w:jc w:val="center"/>
            </w:pPr>
            <w:r>
              <w:t>277</w:t>
            </w:r>
          </w:p>
        </w:tc>
        <w:tc>
          <w:tcPr>
            <w:tcW w:w="844" w:type="dxa"/>
          </w:tcPr>
          <w:p w:rsidR="0064198E" w:rsidRPr="00784662" w:rsidRDefault="00FA297C" w:rsidP="00784662">
            <w:pPr>
              <w:jc w:val="center"/>
            </w:pPr>
            <w:r>
              <w:t>99</w:t>
            </w:r>
          </w:p>
        </w:tc>
        <w:tc>
          <w:tcPr>
            <w:tcW w:w="1134" w:type="dxa"/>
          </w:tcPr>
          <w:p w:rsidR="0064198E" w:rsidRPr="00784662" w:rsidRDefault="00FA297C" w:rsidP="00784662">
            <w:pPr>
              <w:jc w:val="center"/>
            </w:pPr>
            <w:r>
              <w:t>52</w:t>
            </w:r>
          </w:p>
        </w:tc>
        <w:tc>
          <w:tcPr>
            <w:tcW w:w="1134" w:type="dxa"/>
          </w:tcPr>
          <w:p w:rsidR="0064198E" w:rsidRPr="00784662" w:rsidRDefault="00FA297C" w:rsidP="00784662">
            <w:pPr>
              <w:jc w:val="center"/>
            </w:pPr>
            <w:r>
              <w:t>105</w:t>
            </w:r>
          </w:p>
        </w:tc>
        <w:tc>
          <w:tcPr>
            <w:tcW w:w="850" w:type="dxa"/>
          </w:tcPr>
          <w:p w:rsidR="0064198E" w:rsidRPr="00784662" w:rsidRDefault="00FA297C" w:rsidP="00784662">
            <w:pPr>
              <w:jc w:val="center"/>
            </w:pPr>
            <w:r>
              <w:t>194</w:t>
            </w:r>
          </w:p>
        </w:tc>
        <w:tc>
          <w:tcPr>
            <w:tcW w:w="709" w:type="dxa"/>
          </w:tcPr>
          <w:p w:rsidR="0064198E" w:rsidRPr="00784662" w:rsidRDefault="00FA297C" w:rsidP="00784662">
            <w:pPr>
              <w:jc w:val="center"/>
            </w:pPr>
            <w:r>
              <w:t>291</w:t>
            </w:r>
          </w:p>
        </w:tc>
        <w:tc>
          <w:tcPr>
            <w:tcW w:w="850" w:type="dxa"/>
          </w:tcPr>
          <w:p w:rsidR="0064198E" w:rsidRPr="00784662" w:rsidRDefault="00FA297C" w:rsidP="00784662">
            <w:pPr>
              <w:jc w:val="center"/>
            </w:pPr>
            <w:r>
              <w:t>209</w:t>
            </w:r>
          </w:p>
        </w:tc>
      </w:tr>
      <w:tr w:rsidR="0064198E" w:rsidTr="0064198E">
        <w:trPr>
          <w:trHeight w:val="294"/>
        </w:trPr>
        <w:tc>
          <w:tcPr>
            <w:tcW w:w="1135" w:type="dxa"/>
          </w:tcPr>
          <w:p w:rsidR="0064198E" w:rsidRDefault="0064198E" w:rsidP="008E6495">
            <w:pPr>
              <w:jc w:val="both"/>
              <w:rPr>
                <w:b/>
                <w:i/>
              </w:rPr>
            </w:pPr>
            <w:r w:rsidRPr="00FA297C">
              <w:rPr>
                <w:b/>
                <w:i/>
              </w:rPr>
              <w:t>Grenades</w:t>
            </w:r>
          </w:p>
          <w:p w:rsidR="00FA297C" w:rsidRPr="00FA297C" w:rsidRDefault="00FA297C" w:rsidP="008E6495">
            <w:pPr>
              <w:jc w:val="both"/>
              <w:rPr>
                <w:b/>
                <w:i/>
              </w:rPr>
            </w:pPr>
          </w:p>
        </w:tc>
        <w:tc>
          <w:tcPr>
            <w:tcW w:w="985" w:type="dxa"/>
          </w:tcPr>
          <w:p w:rsidR="0064198E" w:rsidRPr="00784662" w:rsidRDefault="00784662" w:rsidP="00784662">
            <w:pPr>
              <w:jc w:val="center"/>
            </w:pPr>
            <w:r>
              <w:t>217</w:t>
            </w:r>
          </w:p>
        </w:tc>
        <w:tc>
          <w:tcPr>
            <w:tcW w:w="1294" w:type="dxa"/>
          </w:tcPr>
          <w:p w:rsidR="0064198E" w:rsidRPr="00784662" w:rsidRDefault="00784662" w:rsidP="00784662">
            <w:pPr>
              <w:jc w:val="center"/>
            </w:pPr>
            <w:r>
              <w:t>49</w:t>
            </w:r>
          </w:p>
        </w:tc>
        <w:tc>
          <w:tcPr>
            <w:tcW w:w="1130" w:type="dxa"/>
          </w:tcPr>
          <w:p w:rsidR="0064198E" w:rsidRPr="00784662" w:rsidRDefault="00784662" w:rsidP="00784662">
            <w:pPr>
              <w:jc w:val="center"/>
            </w:pPr>
            <w:r>
              <w:t>9</w:t>
            </w:r>
          </w:p>
        </w:tc>
        <w:tc>
          <w:tcPr>
            <w:tcW w:w="844" w:type="dxa"/>
          </w:tcPr>
          <w:p w:rsidR="0064198E" w:rsidRPr="00784662" w:rsidRDefault="00FA297C" w:rsidP="00784662">
            <w:pPr>
              <w:jc w:val="center"/>
            </w:pPr>
            <w:r>
              <w:t>8</w:t>
            </w:r>
          </w:p>
        </w:tc>
        <w:tc>
          <w:tcPr>
            <w:tcW w:w="1134" w:type="dxa"/>
          </w:tcPr>
          <w:p w:rsidR="0064198E" w:rsidRPr="00784662" w:rsidRDefault="00FA297C" w:rsidP="00784662">
            <w:pPr>
              <w:jc w:val="center"/>
            </w:pPr>
            <w:r>
              <w:t>3</w:t>
            </w:r>
          </w:p>
        </w:tc>
        <w:tc>
          <w:tcPr>
            <w:tcW w:w="1134" w:type="dxa"/>
          </w:tcPr>
          <w:p w:rsidR="0064198E" w:rsidRPr="00784662" w:rsidRDefault="00FA297C" w:rsidP="00784662">
            <w:pPr>
              <w:jc w:val="center"/>
            </w:pPr>
            <w:r>
              <w:t>6</w:t>
            </w:r>
          </w:p>
        </w:tc>
        <w:tc>
          <w:tcPr>
            <w:tcW w:w="850" w:type="dxa"/>
          </w:tcPr>
          <w:p w:rsidR="0064198E" w:rsidRPr="00784662" w:rsidRDefault="00FA297C" w:rsidP="00784662">
            <w:pPr>
              <w:jc w:val="center"/>
            </w:pPr>
            <w:r>
              <w:t>12</w:t>
            </w:r>
          </w:p>
        </w:tc>
        <w:tc>
          <w:tcPr>
            <w:tcW w:w="709" w:type="dxa"/>
          </w:tcPr>
          <w:p w:rsidR="0064198E" w:rsidRPr="00784662" w:rsidRDefault="00FA297C" w:rsidP="00784662">
            <w:pPr>
              <w:jc w:val="center"/>
            </w:pPr>
            <w:r>
              <w:t>28</w:t>
            </w:r>
          </w:p>
        </w:tc>
        <w:tc>
          <w:tcPr>
            <w:tcW w:w="850" w:type="dxa"/>
          </w:tcPr>
          <w:p w:rsidR="0064198E" w:rsidRPr="00784662" w:rsidRDefault="00FA297C" w:rsidP="00784662">
            <w:pPr>
              <w:jc w:val="center"/>
            </w:pPr>
            <w:r>
              <w:t>19</w:t>
            </w:r>
          </w:p>
        </w:tc>
      </w:tr>
      <w:tr w:rsidR="0064198E" w:rsidTr="0064198E">
        <w:trPr>
          <w:trHeight w:val="275"/>
        </w:trPr>
        <w:tc>
          <w:tcPr>
            <w:tcW w:w="1135" w:type="dxa"/>
          </w:tcPr>
          <w:p w:rsidR="0064198E" w:rsidRPr="00FA297C" w:rsidRDefault="00ED6F79" w:rsidP="008E6495">
            <w:pPr>
              <w:jc w:val="both"/>
              <w:rPr>
                <w:b/>
              </w:rPr>
            </w:pPr>
            <w:r w:rsidRPr="00FA297C">
              <w:rPr>
                <w:b/>
              </w:rPr>
              <w:t>Total</w:t>
            </w:r>
          </w:p>
          <w:p w:rsidR="00FA297C" w:rsidRPr="00FA297C" w:rsidRDefault="00FA297C" w:rsidP="008E6495">
            <w:pPr>
              <w:jc w:val="both"/>
              <w:rPr>
                <w:b/>
              </w:rPr>
            </w:pPr>
          </w:p>
        </w:tc>
        <w:tc>
          <w:tcPr>
            <w:tcW w:w="985" w:type="dxa"/>
          </w:tcPr>
          <w:p w:rsidR="0064198E" w:rsidRPr="00FA297C" w:rsidRDefault="00784662" w:rsidP="00784662">
            <w:pPr>
              <w:jc w:val="center"/>
              <w:rPr>
                <w:b/>
                <w:i/>
              </w:rPr>
            </w:pPr>
            <w:r w:rsidRPr="00FA297C">
              <w:rPr>
                <w:b/>
                <w:i/>
              </w:rPr>
              <w:t>3,285</w:t>
            </w:r>
          </w:p>
        </w:tc>
        <w:tc>
          <w:tcPr>
            <w:tcW w:w="1294" w:type="dxa"/>
          </w:tcPr>
          <w:p w:rsidR="0064198E" w:rsidRPr="00FA297C" w:rsidRDefault="00784662" w:rsidP="00784662">
            <w:pPr>
              <w:jc w:val="center"/>
              <w:rPr>
                <w:b/>
                <w:i/>
              </w:rPr>
            </w:pPr>
            <w:r w:rsidRPr="00FA297C">
              <w:rPr>
                <w:b/>
                <w:i/>
              </w:rPr>
              <w:t>761</w:t>
            </w:r>
          </w:p>
        </w:tc>
        <w:tc>
          <w:tcPr>
            <w:tcW w:w="1130" w:type="dxa"/>
          </w:tcPr>
          <w:p w:rsidR="0064198E" w:rsidRPr="00FA297C" w:rsidRDefault="00784662" w:rsidP="00784662">
            <w:pPr>
              <w:jc w:val="center"/>
              <w:rPr>
                <w:b/>
                <w:i/>
              </w:rPr>
            </w:pPr>
            <w:r w:rsidRPr="00FA297C">
              <w:rPr>
                <w:b/>
                <w:i/>
              </w:rPr>
              <w:t>360</w:t>
            </w:r>
          </w:p>
        </w:tc>
        <w:tc>
          <w:tcPr>
            <w:tcW w:w="844" w:type="dxa"/>
          </w:tcPr>
          <w:p w:rsidR="0064198E" w:rsidRPr="00FA297C" w:rsidRDefault="00FA297C" w:rsidP="00784662">
            <w:pPr>
              <w:jc w:val="center"/>
              <w:rPr>
                <w:b/>
                <w:i/>
              </w:rPr>
            </w:pPr>
            <w:r w:rsidRPr="00FA297C">
              <w:rPr>
                <w:b/>
                <w:i/>
              </w:rPr>
              <w:t>167</w:t>
            </w:r>
          </w:p>
        </w:tc>
        <w:tc>
          <w:tcPr>
            <w:tcW w:w="1134" w:type="dxa"/>
          </w:tcPr>
          <w:p w:rsidR="0064198E" w:rsidRPr="00FA297C" w:rsidRDefault="00FA297C" w:rsidP="00784662">
            <w:pPr>
              <w:jc w:val="center"/>
              <w:rPr>
                <w:b/>
                <w:i/>
              </w:rPr>
            </w:pPr>
            <w:r w:rsidRPr="00FA297C">
              <w:rPr>
                <w:b/>
                <w:i/>
              </w:rPr>
              <w:t>100</w:t>
            </w:r>
          </w:p>
        </w:tc>
        <w:tc>
          <w:tcPr>
            <w:tcW w:w="1134" w:type="dxa"/>
          </w:tcPr>
          <w:p w:rsidR="0064198E" w:rsidRPr="00FA297C" w:rsidRDefault="00FA297C" w:rsidP="00784662">
            <w:pPr>
              <w:jc w:val="center"/>
              <w:rPr>
                <w:b/>
                <w:i/>
              </w:rPr>
            </w:pPr>
            <w:r w:rsidRPr="00FA297C">
              <w:rPr>
                <w:b/>
                <w:i/>
              </w:rPr>
              <w:t>143</w:t>
            </w:r>
          </w:p>
        </w:tc>
        <w:tc>
          <w:tcPr>
            <w:tcW w:w="850" w:type="dxa"/>
          </w:tcPr>
          <w:p w:rsidR="0064198E" w:rsidRPr="00FA297C" w:rsidRDefault="00FA297C" w:rsidP="00784662">
            <w:pPr>
              <w:jc w:val="center"/>
              <w:rPr>
                <w:b/>
                <w:i/>
              </w:rPr>
            </w:pPr>
            <w:r w:rsidRPr="00FA297C">
              <w:rPr>
                <w:b/>
                <w:i/>
              </w:rPr>
              <w:t>316</w:t>
            </w:r>
          </w:p>
        </w:tc>
        <w:tc>
          <w:tcPr>
            <w:tcW w:w="709" w:type="dxa"/>
          </w:tcPr>
          <w:p w:rsidR="0064198E" w:rsidRPr="00FA297C" w:rsidRDefault="00FA297C" w:rsidP="00784662">
            <w:pPr>
              <w:jc w:val="center"/>
              <w:rPr>
                <w:b/>
                <w:i/>
              </w:rPr>
            </w:pPr>
            <w:r w:rsidRPr="00FA297C">
              <w:rPr>
                <w:b/>
                <w:i/>
              </w:rPr>
              <w:t>414</w:t>
            </w:r>
          </w:p>
        </w:tc>
        <w:tc>
          <w:tcPr>
            <w:tcW w:w="850" w:type="dxa"/>
          </w:tcPr>
          <w:p w:rsidR="0064198E" w:rsidRPr="00FA297C" w:rsidRDefault="00FA297C" w:rsidP="00784662">
            <w:pPr>
              <w:jc w:val="center"/>
              <w:rPr>
                <w:b/>
                <w:i/>
              </w:rPr>
            </w:pPr>
            <w:r w:rsidRPr="00FA297C">
              <w:rPr>
                <w:b/>
                <w:i/>
              </w:rPr>
              <w:t>307</w:t>
            </w:r>
          </w:p>
        </w:tc>
      </w:tr>
    </w:tbl>
    <w:p w:rsidR="00726D11" w:rsidRDefault="00FA297C" w:rsidP="00FA297C">
      <w:pPr>
        <w:jc w:val="both"/>
        <w:rPr>
          <w:b/>
          <w:i/>
        </w:rPr>
      </w:pPr>
      <w:r>
        <w:rPr>
          <w:b/>
          <w:i/>
        </w:rPr>
        <w:t>(Official British Army Report on the regional incidence of all wounds in cases admitted into casualty clearing stations of 1</w:t>
      </w:r>
      <w:r w:rsidRPr="00FA297C">
        <w:rPr>
          <w:b/>
          <w:i/>
          <w:vertAlign w:val="superscript"/>
        </w:rPr>
        <w:t>st</w:t>
      </w:r>
      <w:r>
        <w:rPr>
          <w:b/>
          <w:i/>
        </w:rPr>
        <w:t>, 2</w:t>
      </w:r>
      <w:r w:rsidRPr="00FA297C">
        <w:rPr>
          <w:b/>
          <w:i/>
          <w:vertAlign w:val="superscript"/>
        </w:rPr>
        <w:t>nd</w:t>
      </w:r>
      <w:r>
        <w:rPr>
          <w:b/>
          <w:i/>
        </w:rPr>
        <w:t>, and 3</w:t>
      </w:r>
      <w:r w:rsidRPr="00FA297C">
        <w:rPr>
          <w:b/>
          <w:i/>
          <w:vertAlign w:val="superscript"/>
        </w:rPr>
        <w:t>rd</w:t>
      </w:r>
      <w:r>
        <w:rPr>
          <w:b/>
          <w:i/>
        </w:rPr>
        <w:t xml:space="preserve"> Armies during 14 days of trench warfare, 14-27 December 1915)</w:t>
      </w:r>
    </w:p>
    <w:p w:rsidR="00FA297C" w:rsidRDefault="00FA297C" w:rsidP="00FA297C">
      <w:pPr>
        <w:jc w:val="both"/>
        <w:rPr>
          <w:b/>
          <w:i/>
        </w:rPr>
      </w:pPr>
    </w:p>
    <w:p w:rsidR="00921D8F" w:rsidRDefault="00921D8F" w:rsidP="00FA297C">
      <w:pPr>
        <w:jc w:val="both"/>
        <w:rPr>
          <w:b/>
          <w:i/>
        </w:rPr>
      </w:pPr>
    </w:p>
    <w:p w:rsidR="004E1AF9" w:rsidRPr="00921D8F" w:rsidRDefault="004E1AF9" w:rsidP="00921D8F">
      <w:pPr>
        <w:pStyle w:val="ListParagraph"/>
        <w:numPr>
          <w:ilvl w:val="0"/>
          <w:numId w:val="2"/>
        </w:numPr>
        <w:ind w:left="0" w:hanging="284"/>
        <w:jc w:val="both"/>
        <w:rPr>
          <w:b/>
        </w:rPr>
      </w:pPr>
      <w:r w:rsidRPr="00921D8F">
        <w:rPr>
          <w:b/>
        </w:rPr>
        <w:t>According to Source C, in what areas of the body were the majority of injuries sustain</w:t>
      </w:r>
      <w:r w:rsidR="005A2D93" w:rsidRPr="00921D8F">
        <w:rPr>
          <w:b/>
        </w:rPr>
        <w:t>ed</w:t>
      </w:r>
      <w:r w:rsidRPr="00921D8F">
        <w:rPr>
          <w:b/>
        </w:rPr>
        <w:t xml:space="preserve"> by soldiers? (Write down the figures in your answer)</w:t>
      </w:r>
    </w:p>
    <w:p w:rsidR="004E1AF9" w:rsidRDefault="004E1AF9" w:rsidP="00921D8F">
      <w:pPr>
        <w:ind w:hanging="284"/>
        <w:jc w:val="both"/>
        <w:rPr>
          <w:b/>
        </w:rPr>
      </w:pPr>
    </w:p>
    <w:p w:rsidR="004E1AF9" w:rsidRPr="00921D8F" w:rsidRDefault="004E1AF9" w:rsidP="00921D8F">
      <w:pPr>
        <w:pStyle w:val="ListParagraph"/>
        <w:numPr>
          <w:ilvl w:val="0"/>
          <w:numId w:val="2"/>
        </w:numPr>
        <w:ind w:left="0" w:hanging="284"/>
        <w:jc w:val="both"/>
        <w:rPr>
          <w:b/>
        </w:rPr>
      </w:pPr>
      <w:r w:rsidRPr="00921D8F">
        <w:rPr>
          <w:b/>
        </w:rPr>
        <w:t xml:space="preserve">What type of weapon caused the majority of injuries? </w:t>
      </w:r>
      <w:r w:rsidR="005A2D93" w:rsidRPr="00921D8F">
        <w:rPr>
          <w:b/>
        </w:rPr>
        <w:t>In w</w:t>
      </w:r>
      <w:r w:rsidRPr="00921D8F">
        <w:rPr>
          <w:b/>
        </w:rPr>
        <w:t>hat area of the body did this weapon cause the most wounds?</w:t>
      </w:r>
    </w:p>
    <w:p w:rsidR="004E1AF9" w:rsidRDefault="004E1AF9" w:rsidP="00921D8F">
      <w:pPr>
        <w:ind w:hanging="284"/>
        <w:jc w:val="both"/>
        <w:rPr>
          <w:b/>
        </w:rPr>
      </w:pPr>
    </w:p>
    <w:p w:rsidR="00A57788" w:rsidRDefault="00A57788" w:rsidP="00FA297C">
      <w:pPr>
        <w:jc w:val="both"/>
        <w:rPr>
          <w:b/>
        </w:rPr>
      </w:pPr>
    </w:p>
    <w:p w:rsidR="00AC4AAD" w:rsidRDefault="00AC4AAD" w:rsidP="00FA297C">
      <w:pPr>
        <w:jc w:val="both"/>
        <w:rPr>
          <w:b/>
        </w:rPr>
      </w:pPr>
    </w:p>
    <w:p w:rsidR="00D95380" w:rsidRPr="00D95380" w:rsidRDefault="00D95380" w:rsidP="00FA297C">
      <w:pPr>
        <w:jc w:val="both"/>
        <w:rPr>
          <w:b/>
        </w:rPr>
      </w:pPr>
      <w:r>
        <w:rPr>
          <w:b/>
        </w:rPr>
        <w:lastRenderedPageBreak/>
        <w:t>Source D</w:t>
      </w:r>
    </w:p>
    <w:p w:rsidR="00D95380" w:rsidRDefault="00A57788" w:rsidP="00FA297C">
      <w:pPr>
        <w:jc w:val="both"/>
      </w:pPr>
      <w:r>
        <w:t>A study of the literature of trench foot clearly indicates the important part played in the causation of the disease by conditions which interfere with the circulation of the disease by conditions which interfere with the circulation in the feet, such as long hours spent in an upright or crouching position when on or off duty in the trenches and the want of facilities for rest in the recumbent position (laying down). These conditions were unavoidably present in the early days of the campaign; they occurred</w:t>
      </w:r>
      <w:r w:rsidR="00D95380">
        <w:t xml:space="preserve"> also in situations where the nature of the ground prevented the construction of dug-outs, or when there had been no time to prepare them, as happened at all times in the case of newly dug trenches.</w:t>
      </w:r>
      <w:r>
        <w:t xml:space="preserve"> </w:t>
      </w:r>
    </w:p>
    <w:p w:rsidR="00D95380" w:rsidRDefault="00D95380" w:rsidP="00FA297C">
      <w:pPr>
        <w:jc w:val="both"/>
        <w:rPr>
          <w:i/>
        </w:rPr>
      </w:pPr>
      <w:r>
        <w:rPr>
          <w:i/>
        </w:rPr>
        <w:t>Month</w:t>
      </w:r>
      <w:r>
        <w:rPr>
          <w:i/>
        </w:rPr>
        <w:tab/>
      </w:r>
      <w:r>
        <w:rPr>
          <w:i/>
        </w:rPr>
        <w:tab/>
      </w:r>
      <w:r>
        <w:rPr>
          <w:i/>
        </w:rPr>
        <w:tab/>
      </w:r>
      <w:r>
        <w:rPr>
          <w:i/>
        </w:rPr>
        <w:tab/>
        <w:t>No. of Cases</w:t>
      </w:r>
      <w:r w:rsidR="00C472DB">
        <w:rPr>
          <w:i/>
        </w:rPr>
        <w:t xml:space="preserve"> in 1914</w:t>
      </w:r>
    </w:p>
    <w:p w:rsidR="00D95380" w:rsidRDefault="00D95380" w:rsidP="00FA297C">
      <w:pPr>
        <w:jc w:val="both"/>
      </w:pPr>
      <w:r>
        <w:t>August</w:t>
      </w:r>
      <w:r>
        <w:tab/>
      </w:r>
      <w:r>
        <w:tab/>
      </w:r>
      <w:r>
        <w:tab/>
      </w:r>
      <w:r>
        <w:tab/>
      </w:r>
      <w:r>
        <w:tab/>
        <w:t>1</w:t>
      </w:r>
    </w:p>
    <w:p w:rsidR="00D95380" w:rsidRDefault="00D95380" w:rsidP="00FA297C">
      <w:pPr>
        <w:jc w:val="both"/>
      </w:pPr>
      <w:r>
        <w:t>September</w:t>
      </w:r>
      <w:r>
        <w:tab/>
      </w:r>
      <w:r>
        <w:tab/>
      </w:r>
      <w:r>
        <w:tab/>
      </w:r>
      <w:r>
        <w:tab/>
        <w:t>1</w:t>
      </w:r>
    </w:p>
    <w:p w:rsidR="00D95380" w:rsidRDefault="00D95380" w:rsidP="00FA297C">
      <w:pPr>
        <w:jc w:val="both"/>
      </w:pPr>
      <w:r>
        <w:t>October</w:t>
      </w:r>
      <w:r>
        <w:tab/>
      </w:r>
      <w:r>
        <w:tab/>
      </w:r>
      <w:r>
        <w:tab/>
      </w:r>
      <w:r>
        <w:tab/>
        <w:t>11</w:t>
      </w:r>
    </w:p>
    <w:p w:rsidR="00D95380" w:rsidRDefault="00D95380" w:rsidP="00FA297C">
      <w:pPr>
        <w:jc w:val="both"/>
      </w:pPr>
      <w:r>
        <w:t>November</w:t>
      </w:r>
      <w:r>
        <w:tab/>
      </w:r>
      <w:r>
        <w:tab/>
      </w:r>
      <w:r>
        <w:tab/>
      </w:r>
      <w:r>
        <w:tab/>
        <w:t>1,555</w:t>
      </w:r>
    </w:p>
    <w:p w:rsidR="00D95380" w:rsidRDefault="00D95380" w:rsidP="00FA297C">
      <w:pPr>
        <w:jc w:val="both"/>
      </w:pPr>
      <w:r>
        <w:t>December</w:t>
      </w:r>
      <w:r>
        <w:tab/>
      </w:r>
      <w:r>
        <w:tab/>
      </w:r>
      <w:r>
        <w:tab/>
      </w:r>
      <w:r>
        <w:tab/>
      </w:r>
      <w:r w:rsidRPr="00D95380">
        <w:rPr>
          <w:u w:val="single"/>
        </w:rPr>
        <w:t>4,823</w:t>
      </w:r>
    </w:p>
    <w:p w:rsidR="00D95380" w:rsidRPr="00D95380" w:rsidRDefault="00D95380" w:rsidP="00FA297C">
      <w:pPr>
        <w:jc w:val="both"/>
      </w:pPr>
      <w:r>
        <w:tab/>
      </w:r>
      <w:r>
        <w:tab/>
      </w:r>
      <w:r>
        <w:tab/>
      </w:r>
      <w:r>
        <w:tab/>
      </w:r>
      <w:r>
        <w:tab/>
        <w:t>6,391</w:t>
      </w:r>
    </w:p>
    <w:p w:rsidR="00D95380" w:rsidRDefault="00D95380" w:rsidP="00D95380">
      <w:pPr>
        <w:jc w:val="both"/>
        <w:rPr>
          <w:b/>
          <w:i/>
        </w:rPr>
      </w:pPr>
      <w:r>
        <w:rPr>
          <w:b/>
          <w:i/>
        </w:rPr>
        <w:t>(Major-General Sir W.G. MacPherson, Story of the Great War, based on Official Documents: Medical Services; Surgery of the War, Vol.1, 1922)</w:t>
      </w:r>
    </w:p>
    <w:p w:rsidR="00FA297C" w:rsidRDefault="004E1AF9" w:rsidP="00FA297C">
      <w:pPr>
        <w:jc w:val="both"/>
        <w:rPr>
          <w:b/>
        </w:rPr>
      </w:pPr>
      <w:r>
        <w:rPr>
          <w:b/>
        </w:rPr>
        <w:t xml:space="preserve"> </w:t>
      </w:r>
    </w:p>
    <w:p w:rsidR="00233938" w:rsidRPr="00D95380" w:rsidRDefault="00233938" w:rsidP="00FA297C">
      <w:pPr>
        <w:jc w:val="both"/>
      </w:pPr>
    </w:p>
    <w:p w:rsidR="00C13E30" w:rsidRDefault="001E3933" w:rsidP="00921D8F">
      <w:pPr>
        <w:pStyle w:val="ListParagraph"/>
        <w:numPr>
          <w:ilvl w:val="0"/>
          <w:numId w:val="2"/>
        </w:numPr>
        <w:ind w:left="0" w:hanging="284"/>
        <w:jc w:val="both"/>
        <w:rPr>
          <w:b/>
        </w:rPr>
      </w:pPr>
      <w:r w:rsidRPr="00921D8F">
        <w:rPr>
          <w:b/>
        </w:rPr>
        <w:t xml:space="preserve">Look at Source D. What </w:t>
      </w:r>
      <w:r w:rsidR="00C13E30" w:rsidRPr="00921D8F">
        <w:rPr>
          <w:b/>
        </w:rPr>
        <w:t xml:space="preserve">sort of </w:t>
      </w:r>
      <w:r w:rsidR="00ED29DB" w:rsidRPr="00921D8F">
        <w:rPr>
          <w:b/>
        </w:rPr>
        <w:t>conditions</w:t>
      </w:r>
      <w:r w:rsidR="00C13E30" w:rsidRPr="00921D8F">
        <w:rPr>
          <w:b/>
        </w:rPr>
        <w:t xml:space="preserve"> caused soldiers to develop trench foot?</w:t>
      </w:r>
      <w:r w:rsidR="00ED29DB" w:rsidRPr="00921D8F">
        <w:rPr>
          <w:b/>
        </w:rPr>
        <w:t xml:space="preserve"> (Make sure to also look at the no. of cases)</w:t>
      </w:r>
    </w:p>
    <w:p w:rsidR="00D616DB" w:rsidRDefault="00D616DB" w:rsidP="00D616DB">
      <w:pPr>
        <w:jc w:val="both"/>
        <w:rPr>
          <w:b/>
        </w:rPr>
      </w:pPr>
    </w:p>
    <w:p w:rsidR="00233938" w:rsidRDefault="00233938" w:rsidP="00D616DB">
      <w:pPr>
        <w:jc w:val="both"/>
        <w:rPr>
          <w:b/>
        </w:rPr>
      </w:pPr>
    </w:p>
    <w:p w:rsidR="00233938" w:rsidRDefault="00233938" w:rsidP="00D616DB">
      <w:pPr>
        <w:jc w:val="both"/>
        <w:rPr>
          <w:b/>
        </w:rPr>
      </w:pPr>
      <w:r>
        <w:rPr>
          <w:b/>
        </w:rPr>
        <w:t>Source E</w:t>
      </w:r>
    </w:p>
    <w:p w:rsidR="00D616DB" w:rsidRPr="00D616DB" w:rsidRDefault="00233938" w:rsidP="00D616DB">
      <w:pPr>
        <w:jc w:val="both"/>
        <w:rPr>
          <w:b/>
        </w:rPr>
      </w:pPr>
      <w:r w:rsidRPr="00233938">
        <w:rPr>
          <w:b/>
        </w:rPr>
        <w:drawing>
          <wp:inline distT="0" distB="0" distL="0" distR="0">
            <wp:extent cx="4498418" cy="3519377"/>
            <wp:effectExtent l="0" t="0" r="0" b="5080"/>
            <wp:docPr id="3" name="Picture 3" descr="http://media.iwm.org.uk/ciim5/36/954/large_000000.jpg?action=d&amp;cat=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iwm.org.uk/ciim5/36/954/large_000000.jpg?action=d&amp;cat=photograp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0012" cy="3544094"/>
                    </a:xfrm>
                    <a:prstGeom prst="rect">
                      <a:avLst/>
                    </a:prstGeom>
                    <a:noFill/>
                    <a:ln>
                      <a:noFill/>
                    </a:ln>
                  </pic:spPr>
                </pic:pic>
              </a:graphicData>
            </a:graphic>
          </wp:inline>
        </w:drawing>
      </w:r>
    </w:p>
    <w:p w:rsidR="00ED29DB" w:rsidRPr="00233938" w:rsidRDefault="00233938" w:rsidP="008E6495">
      <w:pPr>
        <w:jc w:val="both"/>
        <w:rPr>
          <w:b/>
          <w:i/>
        </w:rPr>
      </w:pPr>
      <w:r>
        <w:rPr>
          <w:b/>
          <w:i/>
        </w:rPr>
        <w:t xml:space="preserve">(Wounded British soldiers having tea and food at a dressing station near </w:t>
      </w:r>
      <w:proofErr w:type="spellStart"/>
      <w:r>
        <w:rPr>
          <w:b/>
          <w:i/>
        </w:rPr>
        <w:t>Aveluy</w:t>
      </w:r>
      <w:proofErr w:type="spellEnd"/>
      <w:r>
        <w:rPr>
          <w:b/>
          <w:i/>
        </w:rPr>
        <w:t xml:space="preserve"> Wood</w:t>
      </w:r>
      <w:r w:rsidR="0018409F">
        <w:rPr>
          <w:b/>
          <w:i/>
        </w:rPr>
        <w:t>, the Somme,</w:t>
      </w:r>
      <w:r>
        <w:rPr>
          <w:b/>
          <w:i/>
        </w:rPr>
        <w:t xml:space="preserve"> during the Battle of the </w:t>
      </w:r>
      <w:proofErr w:type="spellStart"/>
      <w:r>
        <w:rPr>
          <w:b/>
          <w:i/>
        </w:rPr>
        <w:t>Ancre</w:t>
      </w:r>
      <w:proofErr w:type="spellEnd"/>
      <w:r>
        <w:rPr>
          <w:b/>
          <w:i/>
        </w:rPr>
        <w:t>, 13 November 1916)</w:t>
      </w:r>
    </w:p>
    <w:p w:rsidR="00233938" w:rsidRDefault="00233938" w:rsidP="008E6495">
      <w:pPr>
        <w:jc w:val="both"/>
        <w:rPr>
          <w:b/>
        </w:rPr>
      </w:pPr>
    </w:p>
    <w:p w:rsidR="00233938" w:rsidRDefault="00233938" w:rsidP="008E6495">
      <w:pPr>
        <w:jc w:val="both"/>
        <w:rPr>
          <w:b/>
        </w:rPr>
      </w:pPr>
    </w:p>
    <w:p w:rsidR="00CE65BD" w:rsidRPr="00233938" w:rsidRDefault="00233938" w:rsidP="008E6495">
      <w:pPr>
        <w:pStyle w:val="ListParagraph"/>
        <w:numPr>
          <w:ilvl w:val="0"/>
          <w:numId w:val="2"/>
        </w:numPr>
        <w:ind w:left="0" w:hanging="284"/>
        <w:jc w:val="both"/>
        <w:rPr>
          <w:b/>
        </w:rPr>
      </w:pPr>
      <w:r>
        <w:rPr>
          <w:b/>
        </w:rPr>
        <w:t xml:space="preserve">Looking at Source E, what can we learn about the nature and </w:t>
      </w:r>
      <w:r w:rsidR="0018409F">
        <w:rPr>
          <w:b/>
        </w:rPr>
        <w:t>treatment of the wounds sustained</w:t>
      </w:r>
      <w:r>
        <w:rPr>
          <w:b/>
        </w:rPr>
        <w:t xml:space="preserve"> by British soldiers from this picture?</w:t>
      </w:r>
      <w:bookmarkStart w:id="0" w:name="_GoBack"/>
      <w:bookmarkEnd w:id="0"/>
    </w:p>
    <w:p w:rsidR="00CE65BD" w:rsidRPr="00CE65BD" w:rsidRDefault="00CE65BD" w:rsidP="008E6495">
      <w:pPr>
        <w:jc w:val="both"/>
        <w:rPr>
          <w:b/>
        </w:rPr>
      </w:pPr>
    </w:p>
    <w:sectPr w:rsidR="00CE65BD" w:rsidRPr="00CE6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468A"/>
    <w:multiLevelType w:val="hybridMultilevel"/>
    <w:tmpl w:val="5E960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23E84"/>
    <w:multiLevelType w:val="hybridMultilevel"/>
    <w:tmpl w:val="91E6C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DA"/>
    <w:rsid w:val="0018409F"/>
    <w:rsid w:val="001E3933"/>
    <w:rsid w:val="00233938"/>
    <w:rsid w:val="00442864"/>
    <w:rsid w:val="004E1AF9"/>
    <w:rsid w:val="005A2D93"/>
    <w:rsid w:val="0064198E"/>
    <w:rsid w:val="00726D11"/>
    <w:rsid w:val="00784662"/>
    <w:rsid w:val="008E6495"/>
    <w:rsid w:val="00921D8F"/>
    <w:rsid w:val="00A57788"/>
    <w:rsid w:val="00AC4AAD"/>
    <w:rsid w:val="00C13E30"/>
    <w:rsid w:val="00C20C3E"/>
    <w:rsid w:val="00C472DB"/>
    <w:rsid w:val="00C71951"/>
    <w:rsid w:val="00CE65BD"/>
    <w:rsid w:val="00D616DB"/>
    <w:rsid w:val="00D95380"/>
    <w:rsid w:val="00E65BDA"/>
    <w:rsid w:val="00ED29DB"/>
    <w:rsid w:val="00ED6F79"/>
    <w:rsid w:val="00FA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4B08-199B-4593-9096-031B9C78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95"/>
    <w:pPr>
      <w:ind w:left="720"/>
      <w:contextualSpacing/>
    </w:pPr>
  </w:style>
  <w:style w:type="table" w:styleId="TableGrid">
    <w:name w:val="Table Grid"/>
    <w:basedOn w:val="TableNormal"/>
    <w:uiPriority w:val="39"/>
    <w:rsid w:val="00641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18</cp:revision>
  <dcterms:created xsi:type="dcterms:W3CDTF">2017-06-07T12:43:00Z</dcterms:created>
  <dcterms:modified xsi:type="dcterms:W3CDTF">2017-06-08T10:47:00Z</dcterms:modified>
</cp:coreProperties>
</file>